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Struktur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 godzin zajęć laboratoryjnych.
2. Praca własna studenta - 15 godzin, przygotowanie sprawozdań.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- 45 godzin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45  godzinach zajęć laboratoryjnych,
b) 15 godzin - 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lotnicza, materiałoznawstwo lotnicze,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Czynne zapoznanie się z technikami wytwarzania i łączenia elementów strukturalnych płatowca z uwzględnieniem technologii kompozytów. Zapoznanie się z techniką pomiarów kontrolnych geometrii, wyważenia, pomiarów sztywności i wytrzymałości elementów strukturalnych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zakresu technologii i konstrukcji płatowców. Tematyka technologiczna: kompozyty wzmacniane włóknami, kompozyty wzmacniane proszkami, budowa foremników, techniki łączenia: nitowanie, klejenie metali, zastosowanie technik CNC w budowie oprzyrządowania technologicznego. Tematyka konstrukcyjna: Montaż, demontaż -wyważenie płatowca, niwelacja płatowca i stabilizacja urządzeń sterowych, pomiar sztywności układów sterowania, pomiar drgań własnych elementów płatowca, wyznaczanie sztywności giętnej i skrętnej płata nośnego metodą statyczną i dynamiczną, próba statyczna elementu płatowca, badania z zakresu „smart-structures”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sprawozdań z realizowanych zajęć laboratoryjnych, podczas których studenci powinni zaprojektować i zestawić proste układy pomiarowe do za modelowania obciążeń i zbadania deformacji elementu płatowca.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Stafiej – „Obliczenia stosowane przy projektowaniu szybowców” – strona www ZSiŚ,
 2. V.F. Mohof – „ Methodological textbook on preparing and conducting static tests on full-scale airplane structures”.
 Dodatkowa literatura:  W. Błażewicz; "Budowa samolotów - obciążenia" ; Wyd. PW Warszawa 1976.
 Materiały na stronie http://www.sae.org/mags/aem/.
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LiK1_W18,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T1A_W08</w:t>
      </w:r>
    </w:p>
    <w:p>
      <w:pPr>
        <w:keepNext w:val="1"/>
        <w:spacing w:after="10"/>
      </w:pPr>
      <w:r>
        <w:rPr>
          <w:b/>
          <w:bCs/>
        </w:rPr>
        <w:t xml:space="preserve">Efekt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LiK1_W14,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LiK1_U17,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T1A_U13, T1A_U14, T1A_U15,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LiK1_U12, LiK1_U18,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T1A_U14, T1A_U15,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ML.NS622_K3: </w:t>
      </w:r>
    </w:p>
    <w:p>
      <w:pPr/>
      <w:r>
        <w:rPr/>
        <w:t xml:space="preserve">							Student ma świadomość wpływu na środowisko naturalne materiałów kompozytowych stosowanych w strukturach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2024-05-04T04:30:43+02:00</dcterms:created>
  <dcterms:modified xsi:type="dcterms:W3CDTF">2024-05-04T04:30:43+02:00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