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ML.NS549_W4: </w:t>
      </w:r>
    </w:p>
    <w:p>
      <w:pPr/>
      <w:r>
        <w:rPr/>
        <w:t xml:space="preserve">Student zna  zasady wyznaczania podstawowych parametrów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ML.NS549_U1: </w:t>
      </w:r>
    </w:p>
    <w:p>
      <w:pPr/>
      <w:r>
        <w:rPr/>
        <w:t xml:space="preserve">		Student potrafi wykazać związek między osiągami silników i ich emisją, a przebiegiem procesów cieplno-przepływowych.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ML.NS549_U2: </w:t>
      </w:r>
    </w:p>
    <w:p>
      <w:pPr/>
      <w:r>
        <w:rPr/>
        <w:t xml:space="preserve">		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ML.NS549_U3: </w:t>
      </w:r>
    </w:p>
    <w:p>
      <w:pPr/>
      <w:r>
        <w:rPr/>
        <w:t xml:space="preserve">			Student potrafi obliczyć podstawowe parametry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ML.NS549_U4: </w:t>
      </w:r>
    </w:p>
    <w:p>
      <w:pPr/>
      <w:r>
        <w:rPr/>
        <w:t xml:space="preserve">			Student potrafi ocenić trendy rozwojowe silników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2026-07-30T02:28:17+02:00</dcterms:created>
  <dcterms:modified xsi:type="dcterms:W3CDTF">2026-07-30T02:28:17+02:00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