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Wymienniki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udział w wykładach - 15 godz.,
b) udział w ćwiczeniach - 15 godz.,
c) konsultacje - 2 godz.
2) Praca własna studenta - 18 godz., w tym:
a) przygotowywanie się do kolokwiów - 10 godz.,
b) bieżące przygotowywanie się do zajęć, ćwiczenie zadań, analiza literatury - 8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godz.,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 (rachunek różniczkowy i całkowy), fizyka, chemia, wymiana ciepła, procesy chemiczne,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zjawisk odpowiedzialnych za wymianę masy oraz jednoczesną wymianę ciepła i masy, obliczanie współczynników wnikania i przenikania masy przy różnych uwarunkowaniach bilansowych, bilansowanie i obliczenia projektowe wymienników masy (absorbery, adsorbery, rektyfikatory).
Wykształcenie umiejętności korzystania z danych literaturowych do obliczeń własnych.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(pojęcia, terminy, używane jednostki), wstęp dotyczący zastosowań wymiany masy w przemyśle, obliczanie współczynników wnikania i przenikania masy w gazach i cieczach w przypadku absorpcji i adsorpcji składnika(-ów) oraz ekstrakcji, wprowadzenie do równań bilansowych i modele obliczeniowe wymienników masy, zalecenia projektowe, omówienie rozwiązań stosowanych na skalę przemysłową.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zaliczone na ocenę pozytywną, jedno w połowie, drugie przy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1, Hobler T.: Dyfuzyjny ruch masy i absorbery, WNT. Ziółkowski Z.: Ekstrakcja cieczy w przemyśle chemicznym, PWT.
2. Paderewski L.M.: Procesy adsorpcyjne w inżynierii chemicznej, WNT. 
3. Zarzycki R.: Absorpcja i absorbery, WNT.
Dodatkowa literatura: 
1. Materiały dostarczone przez wykładowcę 
2. Heat and Mass Transfer - czasopismo
3. Inne czasopisma obejmujące tematykę wymiany masy i ciepła.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ML.NS592A_W2: </w:t>
      </w:r>
    </w:p>
    <w:p>
      <w:pPr/>
      <w:r>
        <w:rPr/>
        <w:t xml:space="preserve">									Ma podstawową wiedzę w zakresie zerowymiarowych obliczeń absorberów oraz typowych rzeczywistych konstrukcji absorberów.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ML.NS592A_U4: </w:t>
      </w:r>
    </w:p>
    <w:p>
      <w:pPr/>
      <w:r>
        <w:rPr/>
        <w:t xml:space="preserve">											Potrafi posłużyć się prostymi modelami obliczeniowymi dotyczącymi ekstrakcji.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2026-06-16T21:21:21+02:00</dcterms:created>
  <dcterms:modified xsi:type="dcterms:W3CDTF">2026-06-16T21:21:21+02:00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