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 udział w ćwiczeniach laboratoryjnych - 30 godz.,
b) konsultacje - 3 godz.
2) Praca własna studenta - 41 godz. w tym: 
a) przygotowanie do ćwiczeń - 10 godz.,
b) przygotowanie do sprawdzianów kontrolnych - 6 godz.,
c) przygotowanie do kolokwium końcowego -10 godz.,
d) przygotowanie sprawozdań - 15 godz.
Razem - 74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33, w tym:
a) udział w ćwiczeniach laboratoryjnych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 
a) udział w ćwiczeniach laboratoryjnych - 30 godz.,
b)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"Termodynamika I", a zwłaszcza: przemiany gazów doskonałych i rzeczywistych, mieszaniny gazów, obiegi silnikowe i chłodnicze, paliwa, właściwości spalin.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grupy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 analizatory automatyczne i aparat Orsata. Pomiar wartości opałowej paliw gazowych. Pomiar ciepła spalania paliw stałych. Pomiary własności powietrza wilgotnego. Bilans sprężarki tłokowej. Bilans cieplny silnika wysokoprężnego. Badanie klimatyzatora.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z poszczególnych ćwiczeń, kolokwium końcowe, ocena pracy studenta w ramach ćwiczeń, ocena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P.Bader, K.Błogowska „Laboratorium termodynamiki”,
 2. J.Banaszek, J.Bzowski, R. Domański, J.Sado „Termodynamika Przykłady i zadania.” 
Dodatkowa literatura: 
- J. Gąsiorowski Laboratorium Termodynamiki,
- Pomiary cieplne i energetyczne( praca zbiorowa pod red. M. Mieszkowskiego,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ML.NK411_W1: </w:t>
      </w:r>
    </w:p>
    <w:p>
      <w:pPr/>
      <w:r>
        <w:rPr/>
        <w:t xml:space="preserve">Zna zasady podstawowych pomiarów termodynamicznych (temperatura, ciśnienie, wilgotność).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2, 3,4,5,9,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ML.NK411_W2: </w:t>
      </w:r>
    </w:p>
    <w:p>
      <w:pPr/>
      <w:r>
        <w:rPr/>
        <w:t xml:space="preserve">Zna zasady wyznaczania podstawowych własności termodynamicznych (ciepła spalania, wartości opałowej) ciał stałych 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ML.NK411_U2: </w:t>
      </w:r>
    </w:p>
    <w:p>
      <w:pPr/>
      <w:r>
        <w:rPr/>
        <w:t xml:space="preserve">Umie wyznaczać podstawowe własności termodynamiczne (ciepło spalania, wartość opałowa) oraz skład spalin.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ML.NK411_K1: </w:t>
      </w:r>
    </w:p>
    <w:p>
      <w:pPr/>
      <w:r>
        <w:rPr/>
        <w:t xml:space="preserve">Potrafi współpracować w grupie i nadzorować grupę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2026-09-07T22:19:02+02:00</dcterms:created>
  <dcterms:modified xsi:type="dcterms:W3CDTF">2026-09-07T22:19:02+02:00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