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wymagających bezpośredniego kontaktu z opiekunem: 200, w tym:
a) spotkania i konsultacje - 199 godz. 
b) zaliczenie przedmiotu - 1 godz. 
2. Liczba godzin pracy własnej: 300.
Razem - 500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 - liczba godzin wymagających bezpośredniego kontaktu z opiekunem: 200, w tym:
a) spotkania i konsultacje - 199 godz. 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E2_U19, 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E2_U02, E2_U03, E2_U04, E2_U07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ML.NW137_K2: </w:t>
      </w:r>
    </w:p>
    <w:p>
      <w:pPr/>
      <w:r>
        <w:rPr/>
        <w:t xml:space="preserve">Ma świadomość ważności i zrozumienie pozatechnicznych aspektów i skutków działalności inżynierskiej, w tym: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ML.NW137_K3: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2024-04-30T05:06:44+02:00</dcterms:created>
  <dcterms:modified xsi:type="dcterms:W3CDTF">2024-04-30T05:06:44+02:00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