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wytrzymałości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ML.NK342_W1: </w:t>
      </w:r>
    </w:p>
    <w:p>
      <w:pPr/>
      <w:r>
        <w:rPr/>
        <w:t xml:space="preserve">														Ma podstawową wiedzę dotyczącą budowania macierzy sztywności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ML.NK342_W2: </w:t>
      </w:r>
    </w:p>
    <w:p>
      <w:pPr/>
      <w:r>
        <w:rPr/>
        <w:t xml:space="preserve">														Zna ogólne zasady budowy układów równań MES dla zagadnień statycznej analizy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ML.NK342_U1: </w:t>
      </w:r>
    </w:p>
    <w:p>
      <w:pPr/>
      <w:r>
        <w:rPr/>
        <w:t xml:space="preserve">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ML.NK342_U5: </w:t>
      </w:r>
    </w:p>
    <w:p>
      <w:pPr/>
      <w:r>
        <w:rPr/>
        <w:t xml:space="preserve">							Potrafi wyznaczyć zastępcze obciążenie węzłowe w prętowym i płaskim elemencie skończonym dla prostego przypadku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2024-05-04T15:18:23+02:00</dcterms:created>
  <dcterms:modified xsi:type="dcterms:W3CDTF">2024-05-04T15:18:23+02:00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