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godz.;
c) konsultacje - 4 godz.
2. Praca własna studenta - 41 godzin, w tym:
a) przygotowanie do laboratorium - 15 godz.;
b) opracowanie sprawozdań - 16  godz.;
c) przygotowanie do kolokwiów -  20  godz.;
Łącznie -100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 ECTS 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przygotowanie do laboratorium - 15 godz.;
b) opracowanie sprawozdań - 16  godz.;
c) laboratorium -15 godz.;
d) konsultacje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
4. (Wiesław Stafiej "Obliczenia stosowane przy projektowaniu szybowców" PW 2000 )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ML.NS652A_W3: </w:t>
      </w:r>
    </w:p>
    <w:p>
      <w:pPr/>
      <w:r>
        <w:rPr/>
        <w:t xml:space="preserve">							Zna charakterystyki zmęczeniowe materiałów używanych w lotnictwie oraz oddziaływanie spiętrzeń naprężeń.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T2A_U15</w:t>
      </w:r>
    </w:p>
    <w:p>
      <w:pPr>
        <w:keepNext w:val="1"/>
        <w:spacing w:after="10"/>
      </w:pPr>
      <w:r>
        <w:rPr>
          <w:b/>
          <w:bCs/>
        </w:rPr>
        <w:t xml:space="preserve">Efekt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ML.NS652A_U4: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2026-02-08T11:24:10+01:00</dcterms:created>
  <dcterms:modified xsi:type="dcterms:W3CDTF">2026-02-08T11:24:10+01:00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