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40, w tym:
a) spotkania i konsultacje - 35 godz.
b) zaliczenie przedmiotu - 5 godz.
2. Liczba godzin pracy własnej: 110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niewielką pomocą prowadzącego. W szczególności rozwiązania postawionego problemu, doboru literatury, metod badawczych, przedstawienia i krytycznej analizy wyników. 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ML.NK491_W1: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ML.NK491_U1: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ML.NK491_U2: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ML.NK491_U3: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ML.NK491_U4: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ML.NK491_U5: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ML.NK491_K1: </w:t>
      </w:r>
    </w:p>
    <w:p>
      <w:pPr/>
      <w:r>
        <w:rPr/>
        <w:t xml:space="preserve">Potrafi myśleć w sposób kreatywny samodzielnie proponując sposób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2026-08-19T05:58:26+02:00</dcterms:created>
  <dcterms:modified xsi:type="dcterms:W3CDTF">2026-08-19T05:58:26+02:00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