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15 godz.
b)	laboratorium – 30 godz.
c)	konsultacje – 5 godz.
Praca własna studenta – 50 godzin, w tym:
a)	30 godz. – przygotowywanie się do laboratoriów i wykładów,
b)	20 godz. – przygotowanie zadania obliczeniowego.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15  godz.,
b)	laboratorium – 30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- 70 godzin pracy studenta, w tym: 
a) udział w ćwiczeniach laboratoryjnych - 30 godzin;
b) przygotowywanie się do laboratorium i wykonanie zadania obliczeniowego 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dyskretyzacji i rozwiązywania, nieliniowe równania hiperboliczne, symulacja przepływów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 (ocena pracy studenta podczas trwania zajęć) , 60%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
1. Hirsch, Charles, Numerical computation of internal and external flows, 2007.
 2. Versteeg, Henk Kaarle, An introduction to computational fluid dynamics, 2007.
 Dodatkowa literatura: - materiały na stronie http://c-cfd.meil.pw.edu.pl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ML.NK489_W1: </w:t>
      </w:r>
    </w:p>
    <w:p>
      <w:pPr/>
      <w:r>
        <w:rPr/>
        <w:t xml:space="preserve">							Zna cechy zagadnienia na wartości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ML.NK489_W2: </w:t>
      </w:r>
    </w:p>
    <w:p>
      <w:pPr/>
      <w:r>
        <w:rPr/>
        <w:t xml:space="preserve">							Zna sposoby rozwiązywania układów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ML.NK489_W3: </w:t>
      </w:r>
    </w:p>
    <w:p>
      <w:pPr/>
      <w:r>
        <w:rPr/>
        <w:t xml:space="preserve">							Zna metody dyskretyzacji dla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ML.NK489_U3: </w:t>
      </w:r>
    </w:p>
    <w:p>
      <w:pPr/>
      <w:r>
        <w:rPr/>
        <w:t xml:space="preserve">							Potrafi wykorzystać programować zaawansowane funkcje pakietów komercyjnych.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2026-06-18T13:35:46+02:00</dcterms:created>
  <dcterms:modified xsi:type="dcterms:W3CDTF">2026-06-18T13:35:46+02:00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