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integrujący (konstrukcja-materiały-technologia-aerodynamika)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100, w tym:
a)	projekt – 75 godz.,
b)	konsultacje – 25 godz.
Praca własna studenta – 100 godzin, w tym:
a)	40 godz. – przygotowywanie się do zajęć projektowych,
b)	60 godz. – przygotowanie wkładu do projektu grupowego.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ECTS, Liczba godzin kontaktowych: 100, w tym:
a)	projekt – 75 godz.,
b)	konsultacje – 25 godz.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 - 200 godzin pracy studenta, w tym: 
a) projekt i konsultacje - 100 godzin;
b) przygotowywanie się do projektu grupowego i zajęć projektowych- 100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poziomie inżynierskim w zakresie wytrzymałości materiałów, mechaniki płynów, wymiany ciepła, podstaw konstrukcji maszyn,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12-osobowe grupy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Integracja wiedzy i umiejętności studentów w zakresie przedmiotów podstawowych i kierunkowych. Nabycie umiejętności pracy w grupie. Zdobycie szerszej perspektywy w zakresie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projektu wieloaspektowego i o znacznym stopniu złożoności. Uwzględnienie wielodyscyplinarne charakter tematu i podejście grupowe. Aspekty ekonomiczne i prawne działalności inżynierskiej. Wykorzystanie metod symulacyjnych w trakcie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w trakcie zajęć projektowych. Ocena całego projektu. Ocena indywidualnego wkładu do projektu. Ocena indywidualnej prezentacji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Dodatkowa lektura dostosowana do konkretnej tematyki wykonywanego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MiBM2_W03, MiBM2_W04, MiBM2_W06, MiBM2_W07, MiBM2_W08, MiBM2_W09,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T2A_W07, T2A_W03, T2A_W07, T2A_W02, T2A_W03, T2A_W06, T2A_W07, T2A_W04, T2A_W05, T2A_W06, T2A_W07, T2A_W04, T2A_W05, T2A_W07,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MiBM2_U04, MiBM2_U05, MiBM2_U06, MiBM2_U07, MiBM2_U12, MiBM2_U13, MiBM2_U14, MiBM2_U15, MiBM2_U16, MiBM2_U18, MiBM2_U19,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T2A_U10, T2A_U15, T2A_U07, T2A_U08, T2A_U09, T2A_U08, T2A_U09, T2A_U10, T2A_U11, T2A_U14, T2A_U14,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ML.NK479_K1: </w:t>
      </w:r>
    </w:p>
    <w:p>
      <w:pPr/>
      <w:r>
        <w:rPr/>
        <w:t xml:space="preserve">														Umiejętność pracy grupowej i
gotowość dostrzegania pozatechnicznych aspektów projektu.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2024-05-05T14:44:55+02:00</dcterms:created>
  <dcterms:modified xsi:type="dcterms:W3CDTF">2024-05-05T14:44:55+02:00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