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- 23, w tym:
a) ćwiczenia - 18 godz.,
b) konsultacje - 5 godz.
2) Praca własna studenta - 50, w tym:
a) 20 godz. - przygotowywanie się studenta do ćwiczeń, kolokwiów,
b) 30 godz - zadania domowe.
Razem - 73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- 23, w tym:
a) ćwiczenia - 18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punktu ECTS - ćwiczenia - 18 godz. w trakcie trwania  zajęć student wykonuje  rysunki  zarówno techniką tradycyjną jak i przy wykorzystaniu systemu CAD-2D.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("Grafika Inżynierska").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biblioteki rysunków gotowych.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zajęć i prac domowych (rysunków aksonometrycznych).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2. Polskie Normy (w zakresie rysunku technicznego).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ZNK118_W1: </w:t>
      </w:r>
    </w:p>
    <w:p>
      <w:pPr/>
      <w:r>
        <w:rPr/>
        <w:t xml:space="preserve">							Zna zasady wykonywania rysunku warsztatowego pojedynczej 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ZNK118_W2: </w:t>
      </w:r>
    </w:p>
    <w:p>
      <w:pPr/>
      <w:r>
        <w:rPr/>
        <w:t xml:space="preserve">														Zna zasady oznaczania chropowatości powierzchni.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ZNK118_W3: </w:t>
      </w:r>
    </w:p>
    <w:p>
      <w:pPr/>
      <w:r>
        <w:rPr/>
        <w:t xml:space="preserve">														Rozumie potrzebę korzystania z Polskich Norm w zakresie Rysunku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ZNK118_W4: </w:t>
      </w:r>
    </w:p>
    <w:p>
      <w:pPr/>
      <w:r>
        <w:rPr/>
        <w:t xml:space="preserve">														Zna zasady wykonywania rysunku złożeniowego.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ZNK118_W5: </w:t>
      </w:r>
    </w:p>
    <w:p>
      <w:pPr/>
      <w:r>
        <w:rPr/>
        <w:t xml:space="preserve">														Ma podstawową wiedzę tworzenia dokumentacji w systemie CAD-2D.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ZNK118_U1: </w:t>
      </w:r>
    </w:p>
    <w:p>
      <w:pPr/>
      <w:r>
        <w:rPr/>
        <w:t xml:space="preserve">							Potrafi wykonać rysunek warsztatowy przedmiotu z natury.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ZNK118_U2: </w:t>
      </w:r>
    </w:p>
    <w:p>
      <w:pPr/>
      <w:r>
        <w:rPr/>
        <w:t xml:space="preserve">														Potrafi korzystać z Polskich Norm.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T1A_U08, T1A_U09</w:t>
      </w:r>
    </w:p>
    <w:p>
      <w:pPr>
        <w:keepNext w:val="1"/>
        <w:spacing w:after="10"/>
      </w:pPr>
      <w:r>
        <w:rPr>
          <w:b/>
          <w:bCs/>
        </w:rPr>
        <w:t xml:space="preserve">Efekt ZNK118_U3: </w:t>
      </w:r>
    </w:p>
    <w:p>
      <w:pPr/>
      <w:r>
        <w:rPr/>
        <w:t xml:space="preserve">							Potrafi wykonać rysunek techniczny połączenia gwintowego, wpustowego i zębatego.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ZNK118_U4: </w:t>
      </w:r>
    </w:p>
    <w:p>
      <w:pPr/>
      <w:r>
        <w:rPr/>
        <w:t xml:space="preserve">							Potrafi wykonać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ZNK118_U5: </w:t>
      </w:r>
    </w:p>
    <w:p>
      <w:pPr/>
      <w:r>
        <w:rPr/>
        <w:t xml:space="preserve">							Potrafi wykonać rysunek części w oparciu o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ZNK118_U6: </w:t>
      </w:r>
    </w:p>
    <w:p>
      <w:pPr/>
      <w:r>
        <w:rPr/>
        <w:t xml:space="preserve">							Potrafi wykonać rysunek części przy wykorzystaniu systemu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2026-07-08T13:06:44+02:00</dcterms:created>
  <dcterms:modified xsi:type="dcterms:W3CDTF">2026-07-08T13:06:44+02:00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