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
b) laboratorium - 9 godz.
c) konsultacje - 2 godz.
2. Praca własna: 33 godziny, w tym:
a) opracowanie sprawozdań z laboratoriów zawierające wyniki obliczeń numerycznych 8 godzin;
b) studiowanie literatury, przygotowywanie się do zajęć - 25 godzin.
Razem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ZNS241_W1: </w:t>
      </w:r>
    </w:p>
    <w:p>
      <w:pPr/>
      <w:r>
        <w:rPr/>
        <w:t xml:space="preserve">							Zna typy równań różniczkowych cząstkowych i ich charakterystyczne cechy- warunki brzegowe i początkowe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ZNS241_W2: </w:t>
      </w:r>
    </w:p>
    <w:p>
      <w:pPr/>
      <w:r>
        <w:rPr/>
        <w:t xml:space="preserve">														Zna konsekwencje dyskretyzacji równań –stabilność,  dyfuzja i dyspersja numeryczna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ZNS241_W3: </w:t>
      </w:r>
    </w:p>
    <w:p>
      <w:pPr/>
      <w:r>
        <w:rPr/>
        <w:t xml:space="preserve">	Zna warunki stabilności schematu numerycznego jawnego i niejawnego oraz różnice pomiędzy metodami obliczeń przepływów ściśliwych i nieściśliwych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2026-04-20T05:58:47+02:00</dcterms:created>
  <dcterms:modified xsi:type="dcterms:W3CDTF">2026-04-20T05:58:47+02:00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