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- 29, w tym:
a) wykład - 18 godz.;
b) ćwiczenia - 9 godz.;
c) konsultacje - 2 godz.
2. Praca własna studenta - 55 godzin, w tym:
a) studiowanie zalecanej literatury, bieżące przygotowywanie się do wykładów - 10 godz.;
b) bieżące przygotowywanie się do ćwiczeń, rozwiązywanie zadań - 20 godz.;
c) realizacja zadań domowych - 15 godz.;
d) przygotowanie do kolokwiów - 10 godz.
Razem - 84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- 29, w tym:
a) wykład - 18 godz.;
b) ćwiczenia - 9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konstrukcji:  prętowych (stateczność), wybranych  dwuwymiarowych 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wielkości i równania wytrzymałości konstrukcji, zasada prac przygotowanych, zasada minimum całkowitej energii potencjalnej. Stateczność  konstrukcji prętowych, metoda energetyczna. Zagadnienia dwuwymiarowe, zagadnienie Lame, rury grubościenne , rury wielowarstwowe, cienkie tarcze osiowosymetryczne obciążone osiowosymetrycznie (wydatkiem, wirujące). Płyty kołowe obciążone osiowosymetrycznie (wydatkiem, obciążeniem ciągłym). Płyty prostokątne przegubowo podparte obciążone wydatkiem ciągłym. Stan zgięciowy w powłoce walcowej, podstawowe założenia, warunki brzegowe.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 , zadania domowe.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 
2. Brzoska Z.: Wytrzymałość Materiałów, PWN, Warszawa, 1979. 
Dodatkowa literatura: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ML.ZNK430_W1: </w:t>
      </w:r>
    </w:p>
    <w:p>
      <w:pPr/>
      <w:r>
        <w:rPr/>
        <w:t xml:space="preserve">Ma podstawową wiedzę o modelowaniu i analizie prostych zagadnień osiowosymetrycznych - tarcz i rur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ML.ZNK430_W2: </w:t>
      </w:r>
    </w:p>
    <w:p>
      <w:pPr/>
      <w:r>
        <w:rPr/>
        <w:t xml:space="preserve"> Ma podstawową wiedzę o modelowaniu i analizie prostych płyt osiowosymetrycznych i prostokątnych.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ML.ZNK430_W3: </w:t>
      </w:r>
    </w:p>
    <w:p>
      <w:pPr/>
      <w:r>
        <w:rPr/>
        <w:t xml:space="preserve"> Ma podstawową wiedzę o pracy powłoki walcowej w stanie zgięciowym.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ML.ZNK430_W4: </w:t>
      </w:r>
    </w:p>
    <w:p>
      <w:pPr/>
      <w:r>
        <w:rPr/>
        <w:t xml:space="preserve">Zna  podstawowe równania  i  pojęcia wytrzymałości konstrukcji (ZPP, ZMCEP, równania konstytutywne 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ML.ZNK430_U1: </w:t>
      </w:r>
    </w:p>
    <w:p>
      <w:pPr/>
      <w:r>
        <w:rPr/>
        <w:t xml:space="preserve">Potrafi samodzielnie wyznaczyć obciążenia krytyczne w prostych konstrukcjach prętowych metodą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ML.ZNK430_U2: </w:t>
      </w:r>
    </w:p>
    <w:p>
      <w:pPr/>
      <w:r>
        <w:rPr/>
        <w:t xml:space="preserve"> Potrafi samodzielnie wyznaczyć przemieszczenia, odkształcenia i naprężenia w tarczach i rurach grubościennych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ML.ZNK430_U3: </w:t>
      </w:r>
    </w:p>
    <w:p>
      <w:pPr/>
      <w:r>
        <w:rPr/>
        <w:t xml:space="preserve">Potrafi samodzielnie wyznaczyć przemieszczenia, odkształcenia i naprężenia w rurach grubościennych dwuwarstwowych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ML.ZNK430_U4: </w:t>
      </w:r>
    </w:p>
    <w:p>
      <w:pPr/>
      <w:r>
        <w:rPr/>
        <w:t xml:space="preserve">Potrafi samodzielnie wyznaczyć przemieszczenia, odkształcenia i naprężenia w płytach osiowosymetrycznych 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ML.ZNK430_U5: </w:t>
      </w:r>
    </w:p>
    <w:p>
      <w:pPr/>
      <w:r>
        <w:rPr/>
        <w:t xml:space="preserve">Potrafi samodzielnie wyznaczyć przemieszczenia, odkształcenia i naprężenia w płytach prostokątnych obciążonych wydatkiem ciągłym.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2024-05-19T05:32:43+02:00</dcterms:created>
  <dcterms:modified xsi:type="dcterms:W3CDTF">2024-05-19T05:32:43+02:00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