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20, w tym:
a) udział w wykładach - 18 godz.,
b) konsultacje - 2 godz.
2) Praca własna studenta - 50 godz., w tym:
a) bieżące przygotowywanie się do zajęć - 20 godz.
b)  praca nad projektem - 30 godz.
Razem - 70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0,7 - Liczba godzin kontaktowych: 20, w tym:
a) udział w wykładach - 18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Instalacja energetyczna jako obiekt bilansowania. Bilans masy, energii i pędu dla stanu ustalonego i nieustalonego. Formułowanie układów równań bilansowych Automatyzacja procesów formułowania równań , metody macierzowe,
wykorzystanie grafów, metody obiektowe. Metody rozwiązywania układów równań algebraicznych i różniczkowych. Komercyjne programy do bilansowania układów cieplnych.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ZNS501: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ZNS501_W2: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ZNS501_U1: </w:t>
      </w:r>
    </w:p>
    <w:p>
      <w:pPr/>
      <w:r>
        <w:rPr/>
        <w:t xml:space="preserve">Umiejętność bilansowania układów energetycznych i optymalizacji ich 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2024-05-04T21:12:53+02:00</dcterms:created>
  <dcterms:modified xsi:type="dcterms:W3CDTF">2024-05-04T21:12:53+02:00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