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Seminarium: Wybrane zagadnienia statystyki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1120-MASMA-NSP-0026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a) obecność na ćwiczeniach – 30 h
b) konsultacje – 5 h
2. praca własna studenta – 20 h; w tym
a) przygotowanie referatu i prezentacji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 1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interesującymi zagadnieniami z obszaru statystyki, które wykraczają poza program specjalności, połączone z ćwiczeniem umiejętności przygotowywania prezentacji i wygłaszania referatów.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tekstem.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Zajęcia w każdym semestrze kończą się jedną oceną.
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WZS_W01: </w:t>
      </w:r>
    </w:p>
    <w:p>
      <w:pPr/>
      <w:r>
        <w:rPr/>
        <w:t xml:space="preserve">Ma podstawową wiedzę dotyczącą uwarunkowań związanych z działalnością badawczą w zakresie statystyki i analizy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WZS_W02: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WZS_U01: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WZS_U02: </w:t>
      </w:r>
    </w:p>
    <w:p>
      <w:pPr/>
      <w:r>
        <w:rPr/>
        <w:t xml:space="preserve">Potrafi określić kierunki dalszego uczenia się oraz zrealizować proces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M2SMAD_K02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WZS_K02: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2026-09-10T02:50:35+02:00</dcterms:created>
  <dcterms:modified xsi:type="dcterms:W3CDTF">2026-09-10T02:50:35+02:00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