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bankowe</w:t>
      </w:r>
    </w:p>
    <w:p>
      <w:pPr>
        <w:keepNext w:val="1"/>
        <w:spacing w:after="10"/>
      </w:pPr>
      <w:r>
        <w:rPr>
          <w:b/>
          <w:bCs/>
        </w:rPr>
        <w:t xml:space="preserve">Koordynator przedmiotu: </w:t>
      </w:r>
    </w:p>
    <w:p>
      <w:pPr>
        <w:spacing w:before="20" w:after="190"/>
      </w:pPr>
      <w:r>
        <w:rPr/>
        <w:t xml:space="preserve">dr.hab. Anna Zalcewicz,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A12_PB</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kontaktowe: 30 godzin
W ramach pracy własnej student uzyskuje dwa
punkty ECTS. Wymagane jest przygotowanie do
zajęć i kolokwium (ok. 20 godzin)  oraz przygotowanie
wystąpienia lub referatu z ilustrującą problem
prezentacją (ok. 15 godzin). Razem 75 godz.</w:t>
      </w:r>
    </w:p>
    <w:p>
      <w:pPr>
        <w:keepNext w:val="1"/>
        <w:spacing w:after="10"/>
      </w:pPr>
      <w:r>
        <w:rPr>
          <w:b/>
          <w:bCs/>
        </w:rPr>
        <w:t xml:space="preserve">Liczba punktów ECTS na zajęciach wymagających bezpośredniego udziału nauczycieli akademickich: </w:t>
      </w:r>
    </w:p>
    <w:p>
      <w:pPr>
        <w:spacing w:before="20" w:after="190"/>
      </w:pPr>
      <w:r>
        <w:rPr/>
        <w:t xml:space="preserve">Przy bezpośrednim udziale nauczyciela
akademickiego student uzyskuje jeden punkt
ECTS (przedmiot realizowany jest w wymiarze 30
godzin ćwiczeniowych).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do uzupełnienia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Student po realizacji modułów: prawo gospodarcze, prawo cywilne</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Zamierzone cele dydaktyczne można podzielić na dwie grupy: 
- merytoryczne (opanowanie kluczowych pojęć, zrozumienie instytucji prawnych)
- osiągnięcie określonych umiejętności praktycznych (dokonywanie wykładni przepisów prawa umożliwiające poprawne zastosowanie przepisów  w praktyce).</w:t>
      </w:r>
    </w:p>
    <w:p>
      <w:pPr>
        <w:keepNext w:val="1"/>
        <w:spacing w:after="10"/>
      </w:pPr>
      <w:r>
        <w:rPr>
          <w:b/>
          <w:bCs/>
        </w:rPr>
        <w:t xml:space="preserve">Treści kształcenia: </w:t>
      </w:r>
    </w:p>
    <w:p>
      <w:pPr>
        <w:spacing w:before="20" w:after="190"/>
      </w:pPr>
      <w:r>
        <w:rPr/>
        <w:t xml:space="preserve">Prawo bankowe w systemie prawa,
Organizacja systemu bankowego w Polsce i UE (podmioty uprawnione do wykonywania czynności bankowych),
Podstawowe zasady prawa bankowego publicznego,
Narodowy Bank Polski jako bank centralny państwa spoza unii walutowej,
Status prawny banków,
Tworzenie i organizacja banków w Polsce,
Prowadzenie działalności bankowej przez instytucje kredytowe na terytorium RP,
Prowadzenie działalności bankowej przez banki polskie poza granicami RP,
Łączenie i podział banków,
Postępowania sanacyjne,
Szczególne zasady funkcjonowania banków spółdzielczych,
Banki hipoteczne,
Działalność bankowa wykonywana przez podmioty inne niż banki,
Nadzór nad rynkiem bankowym (w tym nadzór skonsolidowany),
Bankowy Fundusz Gwarancyjny,
Ochrona klientów rynku bankowego – rozwiązania instytucjonalne  (system gwarantowania depozytów w Polsce, arbiter bankowy, sądy polubowne, Rzecznik Finansowy),
Czynności bankowe jako instytucja prawa bankowego,
Umowa pożyczki i kredytu bankowego,
Umowa rachunku bankowego,
Karty płatnicze.</w:t>
      </w:r>
    </w:p>
    <w:p>
      <w:pPr>
        <w:keepNext w:val="1"/>
        <w:spacing w:after="10"/>
      </w:pPr>
      <w:r>
        <w:rPr>
          <w:b/>
          <w:bCs/>
        </w:rPr>
        <w:t xml:space="preserve">Metody oceny: </w:t>
      </w:r>
    </w:p>
    <w:p>
      <w:pPr>
        <w:spacing w:before="20" w:after="190"/>
      </w:pPr>
      <w:r>
        <w:rPr/>
        <w:t xml:space="preserve">Zaliczenie pisemne w formie testu jednokrotnego wyboru z możliwym pytaniem otwartym.
Aktywność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 Fedorowicz, Nadzór nad rynkiem finansowym Unii Europejskiej, Warszawa 2013
2.	A. Mikos-Sitek, P. Zapadka, Polskie prawo bankowe wybrane zagadnienia, wyd. II, Wolters Kluwer, Warszawa 2011
3.	Z. Ofiarski, Prawo bankowe, wyd. IV, Wolters Kluwer, Warszawa 2011
4.	Prawo finansowe, R. Mastalski, E. Fojcik-Mastalska (red.), wyd. II, Wolters Kluwer SA Warszawa 2013 (część szósta Prawo bankowe str. 513-546 oraz 575-663).
Literatura uzupełniająca:
1.	J. Byrski, Tajemnica prawnie chroniona w działalności bankowej, C.H.BECK 2010
2.	I. Ciepiela, Czynności bankowe jako przedmiot działalności banków, Wolters Kluwer, Warszawa 2010
3.	Europejska Unia Bankowa, M. Zalewska (red.), Difin, Warszawa:  2014
4.	A. Jurkowska-Zeidler, Bezpieczeństwo rynku finansowego w świetle prawa Unii Europejskiej, Warszawa 2008
5.	R. Kaszubski, Ł. Obzejta, Karty płatnicze, Warszawa 2012.
6.	A. Kawulski, Prawo bankowe. Komentarz, LexisNexis Warszawa 2013
7.	J. Mojak, Zb. Żywko, Polskie i europejskie prawo bankowe w zarysie, WSEI Lublin 2011
8.	A. Nadolska, Komisja Nadzoru Finansowego w nowej instytucjonalnej architekturze europejskiego nadzoru finansowego, Wolters Kluwer, Warszawa 2014
9.	T. Nieborak, Unia bankowa - w stronę bezpieczeństwa i stabilności rynku finansowego Unii Europejskiej?, (w:) Prawo rynku finansowego Doktryna, instytucje, praktyka, Warszawa 2015.
10.	P. Ochman, Ochrona działalności bankowej w prawie karnym gospodarczym, Wolters Kluwer, Warszawa 2011
11.	R. Sura, P. Zawadzka, P. Zimmerman, Ustawa o Bankowym Funduszu Gwarancyjnym, systemie gwarantowania depozytów oraz przymusowej restrukturyzacji. Komentarz, Warszawa 2017
12.	W. Srokosz, Instytucje prabankowe w Polsce, Wolters Kluwer, Warszawa 2011
13.	D. Wojtczak, Usługi bankowe w regulacjach UE, Wolters Kluwer, Warszawa 2012
14.	A. Zalcewicz, Bank lokalny. Studium prawne, Difin,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W_05: </w:t>
      </w:r>
    </w:p>
    <w:p>
      <w:pPr/>
      <w:r>
        <w:rPr/>
        <w:t xml:space="preserve">Zna podstawowe zasady unijnego prawa rynku finansowego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S1A_W02, S1A_W03, S1A_W04, S1A_W07, S1A_W08</w:t>
      </w:r>
    </w:p>
    <w:p>
      <w:pPr>
        <w:keepNext w:val="1"/>
        <w:spacing w:after="10"/>
      </w:pPr>
      <w:r>
        <w:rPr>
          <w:b/>
          <w:bCs/>
        </w:rPr>
        <w:t xml:space="preserve">Efekt W_10: </w:t>
      </w:r>
    </w:p>
    <w:p>
      <w:pPr/>
      <w:r>
        <w:rPr/>
        <w:t xml:space="preserve">Potrafi scharakteryzować podstawowe pojęcia, terminologię i zasady publicznego prawa bankowego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S1A_W05, S1A_W06</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Umie praktycznie stosować wiedzę w zakresie rozpoznawania zadań, funkcji i kompetencji organu administracji, jakim jest KNF.</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P1A_U01, P1A_U02, P1A_U03, P1A_U05, P1A_U06, P1A_U07, P1A_U08, P1A_U09, P1A_U10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Wykazuje się samodzielnością – jako podstawami przygotowania i podejmowania decyzji w prostych problemach prawnych z zakresu publicznego prawa bankowego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2024-05-03T02:08:37+02:00</dcterms:created>
  <dcterms:modified xsi:type="dcterms:W3CDTF">2024-05-03T02:08:37+02:00</dcterms:modified>
</cp:coreProperties>
</file>

<file path=docProps/custom.xml><?xml version="1.0" encoding="utf-8"?>
<Properties xmlns="http://schemas.openxmlformats.org/officeDocument/2006/custom-properties" xmlns:vt="http://schemas.openxmlformats.org/officeDocument/2006/docPropsVTypes"/>
</file>