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inż. arch. Adam Dolot, ćwiczenia: dr Piotr Bujak, mgr Rafał Bujnowski, mgr Marek Neubart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A12_TUiGP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(projektach) 15 godz., praca własna 45h. Łącznie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15, praca nad projektem 45h
Ogółem 60h = 2,4h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Współczesna urbanistyka polska.
11.	Zieleń w mieście – miasto ogród.
12.	Urbanistyczny rozwój Warszawy.
13.	Stolice europejskie.
14.	Współczesne problemy rozwoju miast.
15.	Kolokwium zaliczające wykłady.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 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 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 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 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 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 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 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 02: </w:t>
      </w:r>
    </w:p>
    <w:p>
      <w:pPr/>
      <w:r>
        <w:rPr/>
        <w:t xml:space="preserve">Jest świadomy odpowiedzialności zawodowej w pracy, w szczególności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2024-05-03T23:12:03+02:00</dcterms:created>
  <dcterms:modified xsi:type="dcterms:W3CDTF">2024-05-03T23:12:03+02:00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