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 ochrony prawnej w Unii Europejskiej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Robert Zajdler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A21_SOPUE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Wymagana jest praca indywidualna studenta nad analizowanymi zagadnieniami w ilośc odpowiadającej co najmniej ilości godzin zajęć.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 uwagi na uwarunkowania regulacyjne, biegła znajomość języka angielskiego pozwala na lepsze zrozumienie poruszanych zagadnień.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Przedmiotem zajęć jest system instytucjonalny i prawo materialne Unii Europejskiej. Zakres rzeczowy obejmuje strukturę i mechanizm funkcjonowania systemu prawnego UE. Wykład oparty jest o najnowszą literaturę przedmiotu i uwzględnia aktualny stan prawny i faktyczny oraz orzecznictwo Trybunału Sprawiedliwości Unii Europejskiej.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obejmuje:
1.	Wprowadzenie do prawa Unii Europejskiej;
2.	Rozwój procesów integracyjnych;
3.	Zasady prawa UE;
4.	Instytucje Unii Europejskiej;
5.	Podział kompetencji w prawie Unii Europejskiej;
6.	Źródła prawa Unii Europejskiej;
7.	Tworzenie prawa Unii Europejskiej;
8.	Trybunał Sprawiedliwości UE, miejsce w systemie, typy skarg;
9.	Stosowanie prawa Unii Europejskiej w porządkach państw członkowskich;
10.	Przestrzeń wolności, bezpieczeństwa i sprawiedliwości;
11.	Wspólna polityka zagraniczna i bezpieczeństwa UE;
12.	Pojęcie rynku wewnętrznego i swobody rynku wewnętrznego;
13.	Politykę konkurencji;
14.	Polityka ochrony środowiska
15.	Polityka w zakresie sieci transeuropejskich;
16.	Polityka transportowa;
Wykład oparty jest o najnowszą literaturę przedmiotu i uwzględnia aktualny stan prawny i faktyczny oraz orzecznictwo Trybunału Sprawiedliwości Unii Europejskiej.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Zajęcia kończą się egzaminem złożonym z pytań opisowych i testowych. Dodatkowo w toku zajęć student zobowiązany jest do udziału w ocenianych pracach zespołowych.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Zawidzka-Łojek, A. Łazowski (red.), Podręcznik prawa Unii Europejskiej, wyd. II, Warszawa 2018
A. Łazowski, A. Zawidzka-Łojek (red.), Instytucje i porządek prawny Unii Europejskiej, wyd. II, Warszawa 2015
M. M. Kenig-Witkowska (red.), A. Łazowski, R. Ostrihansky, Prawo instytucjonalne Unii Europejskiej, wyd. VII, Warszawa 2017
J. Barcz, M. Górka, A. Wyrozumska: Instytucje i Prawo Unii Europejskiej, Warszawa 2012, 
J. Barcz (red.), Źródła prawa Unii Europejskiej, Warszawa 2010;
I.Skomerska-Muchowska, A.Wyrozumska, Obywatel Unii, [w:] Ustrój Unii Europejskiej, pod red. J. Barcza, Warszawa 2010;
J.Barcz (red.), Zasady ustrojowe Unii Europejskiej, Warszawa 2010;
M. Zdanowicz (red.), Wybór orzeczeń Trybunału Sprawiedliwości Wspólnot Europejskich, Białystok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www.ans.pw.edu.pl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 uwagi na uwarunkowania regulacyjne, biegła znajomość języka angielskiego pozwala na lepsze zrozumienie poruszanych zagadnień.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podstawową terminologię w zakresie prawa unijnego i systemu ochrony prawnej w UE.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II.H.P7S_WG.2, I.P7S_WG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wiedzę w zakresie struktury i kompetencji unijnych organów sądowych.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II.X.P7S_WG.1.o, II.S.P7S_WG.1, II.S.P7S_WG.2, II.H.P7S_WG.1.o, II.H.P7S_WG.2, 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Ma wiedzę na temat postępowania przed Trybunałem Sprawiedliwości Unii Europejskiej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K_W09,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II.H.P7S_WG.2, I.P7S_WG, II.S.P7S_WG.1, I.P7S_WK, II.X.P7S_WG.1.o, II.S.P7S_WG.2, II.H.P7S_WG.1.o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Ma wiedzę na temat podstawowych rodzajów skarg kierowanych do Trybunału Sprawiedliwości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II.H.P7S_WG.2, I.P7S_WG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Ma wiedzę na temat relacji: sąd krajowy - sąd unijny, w kontekście procedury orzeczenia wstępnego (pytania prejudycjalnego).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II.H.P7S_WG.2, I.P7S_WG</w:t>
      </w:r>
    </w:p>
    <w:p>
      <w:pPr>
        <w:keepNext w:val="1"/>
        <w:spacing w:after="10"/>
      </w:pPr>
      <w:r>
        <w:rPr>
          <w:b/>
          <w:bCs/>
        </w:rPr>
        <w:t xml:space="preserve">Charakterystyka W_06: </w:t>
      </w:r>
    </w:p>
    <w:p>
      <w:pPr/>
      <w:r>
        <w:rPr/>
        <w:t xml:space="preserve">Ma wiedzę w zakresie pozasądowego systemu ochrony prawnej w UE.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II.X.P7S_WG.1.o, II.S.P7S_WG.1, II.S.P7S_WG.2, II.H.P7S_WG.1.o, II.H.P7S_WG.2, 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posługiwać się podstawową terminologią z zakresu systemu ochrony prawnej Unii Europejskiej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K_U04,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II.S.P7S_UW.1, II.S.P7S_UW.2.o, II.S.P7S_UW.3.o, II.H.P7S_UW.1, I.P7S_UW, II.X.P7S_UW.2, II.H.P7S_UW.2.o, I.P7S_UK,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wyszukiwać w zbiorach źródeł prawa unijnego (aktów prawnych i orzeczeń sądów unijnych) dokumentów potrzebnych do prawnej oceny danego stanu faktycznego.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K_U04,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II.S.P7S_UW.1, II.S.P7S_UW.2.o, II.S.P7S_UW.3.o, II.H.P7S_UW.1, I.P7S_UW, II.X.P7S_UW.2, II.H.P7S_UW.2.o, I.P7S_UK,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posługiwać się źródłami prawa unijnego oraz orzecznictwem sądów unijnych.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K_U05,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II.H.P7S_UW.2.o, I.P7S_UK,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Potrafi, jeśli miałby taką potrzebę, skorzystać z instytucji sądowego systemu ochrony prawnej w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K_U05,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II.S.P7S_UW.2.o, II.S.P7S_UW.3.o, II.H.P7S_UW.1, II.H.P7S_UW.2.o, I.P7S_UW, II.X.P7S_UW.2, II.S.P7S_UW.1, I.P7S_UK,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Potrafi, jeśli miałby taką potrzebę, skorzystać z instytucji pozasądowego systemu ochrony prawnej w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K_U06,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II.S.P7S_UW.2.o, II.S.P7S_UW.3.o, II.H.P7S_UW.1, II.H.P7S_UW.2.o, I.P7S_UW, I.P7S_UK, II.X.P7S_UW.3.o, II.S.P7S_UW.1, II.X.P7S_UW.2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poziomu swojej wiedzy i umiejętności z zakresu systemu ochrony prawnej w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I.P7S_KO, I.P7S_KK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świadomość znaczenia systemu ochrony prawnej w Unii Europejskiej, zwłaszcza dla ochrony praw jednostki.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I.P7S_KO, I.P7S_KK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Ma świadomość problemów politycznych i etycznych występujących w procesie rozwoju systemu ochrony prawnej w Unii Europejskiej.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I.P7S_KO, I.P7S_KK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Docenia znaczenie orzecznictwa TSUE dla rozwoju prawa unijnego i ochrony praw jednostki.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I.P7S_KO, I.P7S_KK</w:t>
      </w:r>
    </w:p>
    <w:p>
      <w:pPr>
        <w:keepNext w:val="1"/>
        <w:spacing w:after="10"/>
      </w:pPr>
      <w:r>
        <w:rPr>
          <w:b/>
          <w:bCs/>
        </w:rPr>
        <w:t xml:space="preserve">Charakterystyka K_05: </w:t>
      </w:r>
    </w:p>
    <w:p>
      <w:pPr/>
      <w:r>
        <w:rPr/>
        <w:t xml:space="preserve">Rozumie konieczność dalszego doskonalenia zawodowego i rozwoju osobistego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I.P7S_KO, 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2024-05-02T10:46:36+02:00</dcterms:created>
  <dcterms:modified xsi:type="dcterms:W3CDTF">2024-05-02T10:46:36+02:00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