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nawierzchni drogowych</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TENADR</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49 godz.=2 ECTS: Wykład 12, ćwiczenia laboratoryjne 12, przygotowanie do zajęć laboratoryjnych 10, zapoznanie z literaturą 5, napisanie sprawozdania i weryfikacja 10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24 godz.=1 ECTS: Wykład 12, ćwiczenia laboratoryjne 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32 godz.=1 ECTS: Obecność w laboratorium 12, przygotowanie do laboratorium 10, napisanie sprawozdania i weryfikacja 10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12h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drogowych materiałów wiążących, kruszyw i dodatków.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Umiejętność doboru optymalnej technologii z zakresu mieszanek mineralno-asfaltowych stosowanych do warstw konstrukcyjnych nawierzchni drogowych.</w:t>
      </w:r>
    </w:p>
    <w:p>
      <w:pPr>
        <w:keepNext w:val="1"/>
        <w:spacing w:after="10"/>
      </w:pPr>
      <w:r>
        <w:rPr>
          <w:b/>
          <w:bCs/>
        </w:rPr>
        <w:t xml:space="preserve">Treści kształcenia: </w:t>
      </w:r>
    </w:p>
    <w:p>
      <w:pPr>
        <w:spacing w:before="20" w:after="190"/>
      </w:pPr>
      <w:r>
        <w:rPr/>
        <w:t xml:space="preserve">Mieszanki mineralno-asfaltowe: podział, skład, projektowanie, zakres stosowania. Badania cech reologicznych lepiszczy asfaltowych oraz właściwości kruszyw stosowanych do warstw konstrukcyjnych nawierzchni: podbudowy, warstwy wiążącej i ścieralnej. Badanie właściwości mieszanek oraz warstw konstrukcyjnych nawierzchni. Nawierzchnie z betonu cementowego: podział, skład, projektowanie, zakres stosowania. Badania laboratoryjne: lepiszczy, kruszyw, projektowanie składu, ocena właściwości. </w:t>
      </w:r>
    </w:p>
    <w:p>
      <w:pPr>
        <w:keepNext w:val="1"/>
        <w:spacing w:after="10"/>
      </w:pPr>
      <w:r>
        <w:rPr>
          <w:b/>
          <w:bCs/>
        </w:rPr>
        <w:t xml:space="preserve">Metody oceny: </w:t>
      </w:r>
    </w:p>
    <w:p>
      <w:pPr>
        <w:spacing w:before="20" w:after="190"/>
      </w:pPr>
      <w:r>
        <w:rPr/>
        <w:t xml:space="preserve">Test i ustna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2007.
3. Gaweł, Kalabińska M.,  Piłat J.,  Asfalty drogowe. WKiŁ, Warszawa 2001.
4.  Read J. and Whiteoak D., The Shell Bitumen Handbook, 5th edition, 2003.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TENADRW1: </w:t>
      </w:r>
    </w:p>
    <w:p>
      <w:pPr/>
      <w:r>
        <w:rPr/>
        <w:t xml:space="preserve">Ma wiedzę z zakresu materiałów i technologii stosowanych do budowy warstw konstrukcyjnych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K2_W10, K2_W16_IK</w:t>
      </w:r>
    </w:p>
    <w:p>
      <w:pPr>
        <w:spacing w:before="20" w:after="190"/>
      </w:pPr>
      <w:r>
        <w:rPr>
          <w:b/>
          <w:bCs/>
        </w:rPr>
        <w:t xml:space="preserve">Powiązane efekty obszarowe: </w:t>
      </w:r>
      <w:r>
        <w:rPr/>
        <w:t xml:space="preserve">T2A_W01, T2A_W03, T2A_W05, T2A_W07, T2A_W04, T2A_W05, T2A_W07</w:t>
      </w:r>
    </w:p>
    <w:p>
      <w:pPr>
        <w:keepNext w:val="1"/>
        <w:spacing w:after="10"/>
      </w:pPr>
      <w:r>
        <w:rPr>
          <w:b/>
          <w:bCs/>
        </w:rPr>
        <w:t xml:space="preserve">Efekt TENADRW2: </w:t>
      </w:r>
    </w:p>
    <w:p>
      <w:pPr/>
      <w:r>
        <w:rPr/>
        <w:t xml:space="preserve">Wie jak konstruować i projektować warstwy konstrukcyjne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K2_W14_IK</w:t>
      </w:r>
    </w:p>
    <w:p>
      <w:pPr>
        <w:spacing w:before="20" w:after="190"/>
      </w:pPr>
      <w:r>
        <w:rPr>
          <w:b/>
          <w:bCs/>
        </w:rPr>
        <w:t xml:space="preserve">Powiązane efekty obszarowe: </w:t>
      </w:r>
      <w:r>
        <w:rPr/>
        <w:t xml:space="preserve">T2A_W02, T2A_W04, T2A_W05, T2A_W06, T2A_W09</w:t>
      </w:r>
    </w:p>
    <w:p>
      <w:pPr>
        <w:pStyle w:val="Heading3"/>
      </w:pPr>
      <w:bookmarkStart w:id="3" w:name="_Toc3"/>
      <w:r>
        <w:t>Profil ogólnoakademicki - umiejętności</w:t>
      </w:r>
      <w:bookmarkEnd w:id="3"/>
    </w:p>
    <w:p>
      <w:pPr>
        <w:keepNext w:val="1"/>
        <w:spacing w:after="10"/>
      </w:pPr>
      <w:r>
        <w:rPr>
          <w:b/>
          <w:bCs/>
        </w:rPr>
        <w:t xml:space="preserve">Efekt TENADRU1: </w:t>
      </w:r>
    </w:p>
    <w:p>
      <w:pPr/>
      <w:r>
        <w:rPr/>
        <w:t xml:space="preserve">Potrafi przeprowadzić badania laboratoryjne lepiszczy i mieszanek mineralno-asfaltowych w celu określenia stałych materiałowych potrzebnych do projektowania konstrukcji nawierzchni.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K2_U05, K2_U13_IK</w:t>
      </w:r>
    </w:p>
    <w:p>
      <w:pPr>
        <w:spacing w:before="20" w:after="190"/>
      </w:pPr>
      <w:r>
        <w:rPr>
          <w:b/>
          <w:bCs/>
        </w:rPr>
        <w:t xml:space="preserve">Powiązane efekty obszarowe: </w:t>
      </w:r>
      <w:r>
        <w:rPr/>
        <w:t xml:space="preserve">T2A_U02, T2A_U03, T2A_U11, T2A_U15, T2A_U16, T2A_U04, T2A_U07, T2A_U08, T2A_U09, T2A_U11</w:t>
      </w:r>
    </w:p>
    <w:p>
      <w:pPr>
        <w:keepNext w:val="1"/>
        <w:spacing w:after="10"/>
      </w:pPr>
      <w:r>
        <w:rPr>
          <w:b/>
          <w:bCs/>
        </w:rPr>
        <w:t xml:space="preserve">Efekt TENADRU2: </w:t>
      </w:r>
    </w:p>
    <w:p>
      <w:pPr/>
      <w:r>
        <w:rPr/>
        <w:t xml:space="preserve">Potrafi dobrać materiały do warstw konstrukcyjnych nawierzchni drogowych o określonych parametrach technicznych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TENADRK1: </w:t>
      </w:r>
    </w:p>
    <w:p>
      <w:pPr/>
      <w:r>
        <w:rPr/>
        <w:t xml:space="preserve">Potrafi pracować samodzielnie oraz w zespołach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2026-04-17T00:53:26+02:00</dcterms:created>
  <dcterms:modified xsi:type="dcterms:W3CDTF">2026-04-17T00:53:26+02:00</dcterms:modified>
</cp:coreProperties>
</file>

<file path=docProps/custom.xml><?xml version="1.0" encoding="utf-8"?>
<Properties xmlns="http://schemas.openxmlformats.org/officeDocument/2006/custom-properties" xmlns:vt="http://schemas.openxmlformats.org/officeDocument/2006/docPropsVTypes"/>
</file>