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mgr inż. Urszula Tomczak, mgr inż. Emilia Roguska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BEZMOS</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8 godz., studia literatury 10 godz., przygotowanie i obecność na kolokwium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8 godz., konsultacje i kolokwium 12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BEZMOSW1: </w:t>
      </w:r>
    </w:p>
    <w:p>
      <w:pPr/>
      <w:r>
        <w:rPr/>
        <w:t xml:space="preserve">Ma wiedzę o podstawowych problemach ochrony przeciwpożarowej mostów i tuneli oraz o sposobach zapewniania bezpieczeństwa przeciwpożarowego tych obiektów na podstawie norm polskich i europejskich</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BEZMOSU1: </w:t>
      </w:r>
    </w:p>
    <w:p>
      <w:pPr/>
      <w:r>
        <w:rPr/>
        <w:t xml:space="preserve">Potrafi wybrać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w:t>
      </w:r>
    </w:p>
    <w:p>
      <w:pPr>
        <w:spacing w:before="20" w:after="190"/>
      </w:pPr>
      <w:r>
        <w:rPr>
          <w:b/>
          <w:bCs/>
        </w:rPr>
        <w:t xml:space="preserve">Powiązane efekty obszarowe: </w:t>
      </w:r>
      <w:r>
        <w:rPr/>
        <w:t xml:space="preserve">T2A_U08, T2A_U10, T2A_U15</w:t>
      </w:r>
    </w:p>
    <w:p>
      <w:pPr>
        <w:pStyle w:val="Heading3"/>
      </w:pPr>
      <w:bookmarkStart w:id="4" w:name="_Toc4"/>
      <w:r>
        <w:t>Profil ogólnoakademicki - kompetencje społeczne</w:t>
      </w:r>
      <w:bookmarkEnd w:id="4"/>
    </w:p>
    <w:p>
      <w:pPr>
        <w:keepNext w:val="1"/>
        <w:spacing w:after="10"/>
      </w:pPr>
      <w:r>
        <w:rPr>
          <w:b/>
          <w:bCs/>
        </w:rPr>
        <w:t xml:space="preserve">Efekt BEZMOSK1: </w:t>
      </w:r>
    </w:p>
    <w:p>
      <w:pPr/>
      <w:r>
        <w:rPr/>
        <w:t xml:space="preserve">Ma świadomość odpowiedzialności za bezpieczeństwo pożarowe użytkowników</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2024-05-18T11:13:43+02:00</dcterms:created>
  <dcterms:modified xsi:type="dcterms:W3CDTF">2024-05-18T11:13:43+02:00</dcterms:modified>
</cp:coreProperties>
</file>

<file path=docProps/custom.xml><?xml version="1.0" encoding="utf-8"?>
<Properties xmlns="http://schemas.openxmlformats.org/officeDocument/2006/custom-properties" xmlns:vt="http://schemas.openxmlformats.org/officeDocument/2006/docPropsVTypes"/>
</file>