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inż./Jacek Szpetulski /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Projekt 30h;
Zapoznanie się ze wskazaną literaturą 10h;
Przygotowanie do zaliczenia 15h;
Przygotowanie do egzaminu 10h;
Wykonanie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metalowe sem. 6, Budownictwo ogólne, Wytrzymałość materiałów, Mechanika budowli, Teoria sprężystości i plastyczności, Podstawy projektowania konstrukcji, Konstrukcje betonowe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 obliczeniami prostych konstrukcji stalowych na przykładzie obliczeń statycznych i wymiarowania elementów konstrukcyjnych hali przemysłowej.
</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W2. Obudowa stalowych budynków przemysłowych. 
W3. Kratowe dźwigary płaskie i przestrzenne.
W4. Stężenia w halach przemysłowych – konstrukcja i obliczenia. 
W5. Przekrycia dużych rozpiętości – rozwiązania konstrukcyjne, podstawy obliczeń. 
W6. Tory jezdne suwnic natorowych i podwieszonych, estakady suwnicowe. 
W7. Maszty i wieże – rozwiązania konstrukcyjne, obciążenia i obliczenia. 
W8. Budynki wysokie - kształtowanie, rozwiązania materiałowo–konstrukcyjne, podstawy obliczeń.
W9. Zbiorniki – rodzaje, obciążenia, rozwiązania konstrukcyjne, wyposażenie, zasady obliczeń. 
W10. Konstrukcje zespolone stalowo – betonowe. 
W11. Podstawy wymiarowania stalowych przekrojów cienkościennych. 
W12. Zagadnienia trwałości budowlanych konstrukcji stalowych. 
W13. Wykonawstwo i odbiór konstrukcji stalowych.
P1. Projekt hali przemysłowej o konstrukcji słupowo-ryglowej lub ramowej bez transportu dźwignicowego. Szczegółowe omówienie założeń projektowych. 
P2. Omówienie rozwiązań konstrukcyjnych przekryć płatwiowych i bezpłatwiowych.
P3. Konstruowanie i wymiarowanie płatwi dachowych.
P4. Konstruowanie i wymiarowanie dźwigarów dachowych.
P5. Obliczenia stężeń dachowych i ściennych.
P6. Konstruowanie i wymiarowanie słupów hali przemysłowej.
P7. Wzajemne połączenia elementów konstrukcyjnych.
P8. Opis techniczny, omówienie wybranych rysunków zestawieniowych i konstrukcyjnych, zestawienia stali.
</w:t>
      </w:r>
    </w:p>
    <w:p>
      <w:pPr>
        <w:keepNext w:val="1"/>
        <w:spacing w:after="10"/>
      </w:pPr>
      <w:r>
        <w:rPr>
          <w:b/>
          <w:bCs/>
        </w:rPr>
        <w:t xml:space="preserve">Metody oceny: </w:t>
      </w:r>
    </w:p>
    <w:p>
      <w:pPr>
        <w:spacing w:before="20" w:after="190"/>
      </w:pPr>
      <w:r>
        <w:rPr/>
        <w:t xml:space="preserve">1.	Obecność studentów na wykładach jest zalecana.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Ocena z projektu jest średnią arytmetyczną pozytywnej oceny z ćwiczenia projektowego wg wydanych indywidualnie założeń i pozytywnej oceny z pisemnej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6.	Ocena końcowa (łączna) z przedmiotu jest średnią arytmetyczną pozytywnych ocen z wykładu i projektu. Jeżeli któraś z ocen wchodzących do średniej arytmetycznej będzie negatywna to ocena końcowa (łączna) również będzie negatywna.
7.	Do zaliczenia wykładów obowiązuje napisanie egzaminu na ocenę pozytywną. Istnieje możliwość poprawy egzaminu w uzgodnionym terminie.
8.	Student ma prawo przystąpić do egzaminu w trzech wybranych terminach spośród wyznaczonych w sesjach egzaminacyjnych lub poza okresem sesji egzaminacyjnych.
9.	Weryfikacja osiągnięcia efektów uczenia się przez studenta, odbywa się po zakończeniu zajęć w semestrze.
10.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egzaminu (poprawkowego).
11.	Podczas weryfikacji osiągnięcia efektów uczenia się z wykładów do używania przez studentów dopuszcza się: czyste arkusze papieru, długopis (lub pióra) z czarnym/niebieskim tuszem (atramentem), kalkulator. Wszystkie pozostałe materiały i urządzenia są niedopuszczalne.
12.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13.	Niezaliczenie wykładu na danym etapie studiów skutkuje koniecznością powtarzania zajęć z wykładu, to jest ponownej realizacji wykładu. Niezaliczenie projektu na danym etapie studiów skutkuje koniecznością powtarzania zajęć projektowych, to jest ponownej realizacji projektu.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Prowadzący zajęcia nie wyraża zgody na rejestrowanie dźwięku i obrazu przez słuchaczy w trakcie zajęć.
16.	Prowadzący zajęcia umożliwia studentowi wgląd do jego ocenionych prac pisemnych do końca danego roku akademickiego w uzgodnionym wcześniej terminie.
17.	Osoba przystępująca do weryfikacji osiągnięcia efektów uczenia się jest zobowiązana na wezwanie okazać dokument tożsamości lub legitymację studencką.
18.	Ustalenia i zasady, o których mowa w punktach 1 - 12  mogą ulegać zmianie w trakcie prowadzenia zajęć oraz w okresie, w którym jest możliwe zaliczanie przedmiotu, za zgodą większości studentów realizujących dany przedmiot.
19.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Bródka, M. Broniewicz:Konstrukcje stalowe z rur,
6. praca zbiorowa: Budownictwo Ogólne tom 5, 
7. praca zbiorowa: Projektowanie i obliczanie połączeń i węzłów konstrukcji stalowych tom 1 i 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w zakresie specyfiki obciążeń i zasad projektowania.</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Wykonanie ćwiczenia projektowego i zaliczenie przedmiotu.(W1-W13)(P1-P8)</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przedmiotu.(W1-W13)(P1-P8)</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2024-05-21T16:15:24+02:00</dcterms:created>
  <dcterms:modified xsi:type="dcterms:W3CDTF">2024-05-21T16:15:24+02:00</dcterms:modified>
</cp:coreProperties>
</file>

<file path=docProps/custom.xml><?xml version="1.0" encoding="utf-8"?>
<Properties xmlns="http://schemas.openxmlformats.org/officeDocument/2006/custom-properties" xmlns:vt="http://schemas.openxmlformats.org/officeDocument/2006/docPropsVTypes"/>
</file>