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zajęć - 15, razem - 50; Projekty: liczba godzin według planu studiów - 10, wykonanie projektu - 40,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projektu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Sprawdzian pisemny, Zadanie projektowe P1</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W08_01: </w:t>
      </w:r>
    </w:p>
    <w:p>
      <w:pPr/>
      <w:r>
        <w:rPr/>
        <w:t xml:space="preserve">Ma wiedzę ogólną na temat rozwoju i dokonań cywilizacji w zakresie budownictwa, ma świadomość konieczności stosowania aspektów prawnych w działalności inżynierskiej.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posługiwać się rysunkiem technicznym oraz językiem technicznym.</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sprawdzian opisowy (W2, W4, W5, W6, W7, W8, W9, W10, W11, W12), Zadanie projektowe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2026-08-18T23:43:14+02:00</dcterms:created>
  <dcterms:modified xsi:type="dcterms:W3CDTF">2026-08-18T23:43:14+02:00</dcterms:modified>
</cp:coreProperties>
</file>

<file path=docProps/custom.xml><?xml version="1.0" encoding="utf-8"?>
<Properties xmlns="http://schemas.openxmlformats.org/officeDocument/2006/custom-properties" xmlns:vt="http://schemas.openxmlformats.org/officeDocument/2006/docPropsVTypes"/>
</file>