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(IN1A_33/02)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przygotowanie do egzaminu - 20, razem - 50;
Projekty: liczba godzin według planu studiów - 10, przygotowanie do zaliczenia - 20, przygotowanie pracy projektowej - 20, razem - 50; 
Razem - 100 godzin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zaliczenia - 20, przygotowanie pracy projektowej - 20, razem - 50;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chemii i podstaw inżynierii środowiska na poziomie studiów I stopnia.
Znajomość przynajmniej jednego oprogramowania umożliwiającego obliczenia inżynierskie (Matlab, Mathcad, Excel).</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W1. Wprowadzenie do przedmiotu, podstawowe pojęcia i określenia.
W2. Klasyfikacja modeli matematycznych, procesy ustalone i nieustalone.
W3. Grupy równań tworzących model matematyczny (przykłady równań: bilansowego, pędu, energii, masy, ograniczenia na parametry procesu).
W4. Modelowanie przedsięwzięć termomodernizacji obiektów budowlanych.
W5. Metody oceny efektywności ekonomicznej przykładowych przedsięwzięć modernizacyjnych, termomodernizacyjnych. 
W6. Modelowanie procesów i układów dynamicznych.                                                          
W7. Modelowania procesów cieplnych.
W8. Modelowanie zużycia energii w obiektach budowlanych(ogrzewanie, wentylacja, klimatyzacja).
W9. Metody i techniki komputerowe, służących do rozwiązywania zagadnień inżynierskich (m.in. metody elementów skończonych i brzegowych)
W10. Symulacje wykorzystania odnawialnych źródeł energii.
W11. Przykłady modelowania matematycznego do rozwiązywania problemów ochrony środowiska.
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sumy punktów z wykładu (20 punktów) oraz punktów uzyskanych z realizacji projektów (30 punktów).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metody, techniki, narzedzia stosowane przy rozwiązywaniu prostych zadań inżynierskich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ionżynierii środowiska. Potrafi integrować je, dokonywać ich interpretacji oraz wyciągać wnioski i formułować opinie.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 typowych dla działalności inżynierskiej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U09_01: </w:t>
      </w:r>
    </w:p>
    <w:p>
      <w:pPr/>
      <w:r>
        <w:rPr/>
        <w:t xml:space="preserve">Potrafi wykorzystać do formułowania i rozwiązywania zadań inżynierskich w zakresie inżynierii środowiska metody analityczne, symulacyjne oraz eksperymentalne.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poznne metody i modele matematyczne do analizy podstawowych zagadnień fizycznych i technicznych.</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przejmując w niej różne role. Ma świadomość odpowiedzialności za wspólnie realizowane zadania.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2026-08-19T16:56:47+02:00</dcterms:created>
  <dcterms:modified xsi:type="dcterms:W3CDTF">2026-08-19T16:56:47+02:00</dcterms:modified>
</cp:coreProperties>
</file>

<file path=docProps/custom.xml><?xml version="1.0" encoding="utf-8"?>
<Properties xmlns="http://schemas.openxmlformats.org/officeDocument/2006/custom-properties" xmlns:vt="http://schemas.openxmlformats.org/officeDocument/2006/docPropsVTypes"/>
</file>