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Nieprzemienne struktury algebraiczne i ich zastosowania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Ziembowski,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a) obecność na wykładach – 30 h
b) obecność na ćwiczeniach – 30 h
c) konsultacje – 8 h
2. praca własna studenta – 60 h; w tym
a) przygotowanie do ćwiczeń i do kolokwium – 50 h
b) zapoznanie się z literaturą – 10 h
Razem 128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konsultacje – 8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 1 i 2, Algebra i jej zastosowania,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nieprzemiennymi strukturami algebraicznymi, takimi jak algebry Hopfa, algebry Liego, grupy kwantowe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Algebry Liego, algebry obwiednie algebr Liego, bialgebry, algebry Hopfa, algebry spełniające tożsamości wielomianowe, skwantowane pierścienie współrzędnych.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Sweedler. Hopf algebras, 1969
2. Montgomery, Schneider. New directions in Hopf algebras, 2002 
3. Humphreys. Introduction to Lie Algebras and Representation Theory, 1972. 
4. Brown, Goodearl. Lectures on Algebraic Quantum Groups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NSA_W01: </w:t>
      </w:r>
    </w:p>
    <w:p>
      <w:pPr/>
      <w:r>
        <w:rPr/>
        <w:t xml:space="preserve">Zna podstawowe własności algebr Hopfa, algebr Liego i grup kwantowych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M2_W03, M2MNI_W01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NSA_W02: </w:t>
      </w:r>
    </w:p>
    <w:p>
      <w:pPr/>
      <w:r>
        <w:rPr/>
        <w:t xml:space="preserve">Zna konstrukcje które prowadzą do przykładów algebr Hopfa i odpowiednio algebr Liego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M2_W03, M2MNI_W01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NSA_U01: </w:t>
      </w:r>
    </w:p>
    <w:p>
      <w:pPr/>
      <w:r>
        <w:rPr/>
        <w:t xml:space="preserve">Umie posługiwać się językiem algebraicznym interpretując zagadnienia z różnych obszarów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M2_U01, M2MNI_U02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NSA_U02: </w:t>
      </w:r>
    </w:p>
    <w:p>
      <w:pPr/>
      <w:r>
        <w:rPr/>
        <w:t xml:space="preserve">Potrafi dostrzec struktury algebraiczne w różnych dziedzinach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M2_U01, M2MNI_U02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NSA_K01: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2024-05-07T07:07:43+02:00</dcterms:created>
  <dcterms:modified xsi:type="dcterms:W3CDTF">2024-05-07T07:07:43+02:00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