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Jarosław Grytczuk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SEM_W01: </w:t>
      </w:r>
    </w:p>
    <w:p>
      <w:pPr/>
      <w:r>
        <w:rPr/>
        <w:t xml:space="preserve">Ma podstawową wiedzę dotyczącą uwarunkowań związanych z działalnością badawczą w zakresie algebry i kombinatoryki.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M2_W03, M2MNI_W01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M2MNI_U01, M2MNI_U14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SEM_U02: </w:t>
      </w:r>
    </w:p>
    <w:p>
      <w:pPr/>
      <w:r>
        <w:rPr/>
        <w:t xml:space="preserve">Umie posługiwać się językiem algebraicznym do interpretacji różnych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SEM_K01: </w:t>
      </w:r>
    </w:p>
    <w:p>
      <w:pPr/>
      <w:r>
        <w:rPr/>
        <w:t xml:space="preserve">Rozumie społeczne aspekty stosowania zdobytej wiedzy, jej przydatność,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</w:t>
      </w:r>
    </w:p>
    <w:p>
      <w:pPr>
        <w:keepNext w:val="1"/>
        <w:spacing w:after="10"/>
      </w:pPr>
      <w:r>
        <w:rPr>
          <w:b/>
          <w:bCs/>
        </w:rPr>
        <w:t xml:space="preserve">Efekt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2024-05-05T14:09:01+02:00</dcterms:created>
  <dcterms:modified xsi:type="dcterms:W3CDTF">2024-05-05T14:09:01+02:00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