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Diploma seminar for the study profile Theory of Structures (in English)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Dzierżanowski, Ph.D. (Habil.), Assoc. Prof.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SEMMGRENTK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Total 15 hrs. = 1 ECTS: 
2 hrs. - in the class, 
13 hrs. - preparing the presentation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Total 2 hrs. = 0.1 ECTS: 
2 hrs. - in the class,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Total 13 hrs. = 0.9 ECTS: 
13 hrs. - preparing the presentation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At least 50 per cent of the progress of the thesis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Deepening the knowledge of the mechanics and structural design by self-studying the problems related to the MSc. thesis.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Depend on the topic of the thesis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Advance of the thesis is evaluated during the seminar meetings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Publications recommended by the supervisor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 will be conducted in English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SEMMGRENTKW1: </w:t>
      </w:r>
    </w:p>
    <w:p>
      <w:pPr/>
      <w:r>
        <w:rPr/>
        <w:t xml:space="preserve">Ma poszerzoną wiedzę z zakresu  racjonalnego projektowania obiektów inżynierskich takich jak budynki (w tym budynki wysokie) hale przemysłowe, wieże, maszty i zbiorniki. Potrafi stosować terminy anglojęzyczne w tym zakresie.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SEMMGRENTKU1: </w:t>
      </w:r>
    </w:p>
    <w:p>
      <w:pPr/>
      <w:r>
        <w:rPr/>
        <w:t xml:space="preserve">Potrafi pracować samodzielnie nad projektem związanym z dyplomem magisterskim biorąc pod uwagę zróżnicowane aspekty podjętego zadania. Potrafi stosować terminy anglojęzyczne dotyczące budownictwa.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SEMMGRENTKK1: </w:t>
      </w:r>
    </w:p>
    <w:p>
      <w:pPr/>
      <w:r>
        <w:rPr/>
        <w:t xml:space="preserve">Student w ramach ćwiczeń w grupie dziekańskiej współpracuje z kolegami, także z kolegami z zagranicy, którzy nie znaja języka polskiego, ucząc się pracy w zespole.  Rozumie znaczenie odpowiedzialności w działalności inżynierskiej, w tym rzetelności przedstawianych wyników swoich prac i ich interpretacji.  Student przekonuje się do konieczności dokładnej i bezbłędnej analizy zagadnień, dowiadując się o odpowiedzialności związanej z 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2024-05-17T06:05:17+02:00</dcterms:created>
  <dcterms:modified xsi:type="dcterms:W3CDTF">2024-05-17T06:05:17+02:00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