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60 godzin = 2 ECTS: obecność na
laboratoriach 15 godzin i wykładach 15 godz.,
przygotowanie do laboratorium 4 godz,
opracowanie raportów z własnych badań
przeprowadzonych na laboratorium, konsultacje
20 godz, przygotowanie do zaliczenia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45 godzin = 2 ECTS: obecność na
laboratoriach 15 godzin i na wykładach 15 godz.
konsultacje raportów z badań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26 godzin = 1 ECTS: obecność na
laboratoriach 15 godzin, przygotowanie do
laboratorium 6 godz, opracowanie raportów z
własnych badań przeprowadzonych na
laboratorium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kompozytach budowlanych ze spoiwami hydraulicznymi i powietrznymi oraz o umiejętności prowadzenia i wykorzystania specyficznych metod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Gips budowlany – modyfikacja dodatkami poprawiającymi szczególne cechy użytkowe tworzywa.
2. Projektowanie, wykonywanie i badania laboratoryjne betonów o specjalnych wymaganiach w zakresie trwałości, w tym: ognioodpornych, mrozoodpornych, wodoszczelnych, odpornych na ścieranie, odpornych na karbonatyzację.
3. Badania różnymi metodami, zawartości powietrza w mieszance betonowej, badania podatności mieszanki na oddzielanie się wody (bleeding), ocena zmian własności roboczych mieszanki z upływem czasu.
4. Kontrola i ocena zgodności betonu.
5. Nowoczesne techniki oceny dojrzałości betonu w konstrukcji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rezultatów, przygotowanie i przedstawienie prezentacji na zadany temat.
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2004.
[2] Osiecka E. Materiały budowlane. Spoiwa mineralne. Kruszywa. Of. Wyd. PW 2005.
[3] Neville A. Właściwości betonu Polski Cement, Kraków 2002.
[4] Jamroży Z., Beton i jego właściwości. Arkady 2002.
[5] Śliwiński J.,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TEKOBUW1: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TEKOBUU1: </w:t>
      </w:r>
    </w:p>
    <w:p>
      <w:pPr/>
      <w:r>
        <w:rPr/>
        <w:t xml:space="preserve">umie dobrać składniki i skład betonu cementowego o specjalnych wymaganiach trwałości w róznych klasach ekspozycji i wwarunkach ekstremalnych,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sporzadzenia raportu z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TEKOBUK1: </w:t>
      </w:r>
    </w:p>
    <w:p>
      <w:pPr/>
      <w:r>
        <w:rPr/>
        <w:t xml:space="preserve">potrafi zespołowo zaplanować i przeprowadzić eksperyment z zakresu zaawansowanych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prawidłowości sporządzenia planu eksperymentu i jego wyników poprzez analizę zespołowego raportu wykonanego przez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2024-05-17T06:04:58+02:00</dcterms:created>
  <dcterms:modified xsi:type="dcterms:W3CDTF">2024-05-17T06:04:58+02:00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