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produkcji budowlanej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Hubert Anysz,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MEKOIP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godzin wykładu i 30 godzin ćwiczeń oraz 55 godzin pracy własnej studenta = 100 godzin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godzin wykładu i 30 godzin ćwiczeń = 45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55 godzin pracy własnej studenta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ogólnych zagadnień budownictwa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zastosowaniem programów wspomagających zarządzanie projektami na podstawie programów Microsoft Project lub Primavera P5/(6) i ich odniesieniem do projektów inwestycyjnychbudowlanych.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Miejsce programu Microsoft Project w cyklu życia projektu 2. Okno programu i opis projektu 3. Tworzenie i edycja harmonogramu projektu 4. Zarządzanie zasobami (zasoby pracy, zasoby materiałowe, czas, koszty) 5. Ocena wykorzystania przydzielonych zasobów i ich bilansowanie (odciążanie) 6. Praktyczne aspekty optymalizacji harmonogramu z przydzielonymi zasobami 7. Elementy prezentacji i dokumentowania projektu – tablice, widoki i raporty (standardowe i użytkownika) 8. Plany bazowe 9. Śledzenie realizacji projektu 10. Wymiana danych z innymi aplikacjami (MS Office, programy wspierające kosztorysowanie, PERT Chart, PERT Master, WBS Pro, etc.) Dostosowanie programu do własnych potrzeb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oceny samodzielnie rozwiązanego przez studenta zadania zarządczego. Ocena może być podwyŜszona przez prowadzącego za aktywność podczas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Kompendium wiedzy o zarządzaniu projektami (PMBOK® Guide 3rd Edition). Wyd. polskie MTDC, Warszawa, 2006 2. Zieliński B.; Microsoft Project 2003 w praktyce. Część 1 – Wprowadzenie. PROED, 2006 PMBOK® Guide Construction Extension. PMI,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MEKOIPW1: </w:t>
      </w:r>
    </w:p>
    <w:p>
      <w:pPr/>
      <w:r>
        <w:rPr/>
        <w:t xml:space="preserve">Zna wybrane programy komputerowe wspomagające procesy budowlane zgodnie z profilem specjalności.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K2_W07, K2_W10, K2_W15_IPB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T2A_W04, T2A_W07, T2A_W08, T2A_W01, T2A_W03, T2A_W05, T2A_W07, T2A_W04, T2A_W06,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MEKOIPU1: </w:t>
      </w:r>
    </w:p>
    <w:p>
      <w:pPr/>
      <w:r>
        <w:rPr/>
        <w:t xml:space="preserve">Potrafi planować i przeprowadzać eksperymenty, w tym pomiary i symulacje komputerowe, interpretować uzyskane wyniki i wyciągać wnioski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K2_U09, K2_U15_IPB, K2_U16_IPB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T2A_U09, T2A_U11, T2A_U12, T2A_U17, T2A_U07, T2A_U09, T2A_U11,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MEKOIPK1: </w:t>
      </w:r>
    </w:p>
    <w:p>
      <w:pPr/>
      <w:r>
        <w:rPr/>
        <w:t xml:space="preserve">Potrafi pracować samodzielnie, współpracować w zespole i kierować zespołem oraz określać priorytety służące realizacji zadań.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2026-09-11T07:24:44+02:00</dcterms:created>
  <dcterms:modified xsi:type="dcterms:W3CDTF">2026-09-11T07:24:44+02:00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