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WZwTSZ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15 godz., ćwiczenia praktyczne 15 godz., praca własna nad ćwiczeniem projektowym 15 godz., przygotowanie do zaliczenia wykładu i ćwiczeń 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praca własna nad ćwiczeniem projektowym 15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o zagrożeniach, wydarzeniach i wypadkach w transporcie szynowym, oraz szczegółowej wiedzy i umiejętności w zakresie uwzględniania zagadnień bezpieczeństwa podczas realizacji prac budowlanych, modernizacyjnych i rewitalizacyjnych w infrastrukturze transportu szynowego.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Wydarzenia i wypadki w transporcie kolejowym: definicje, statystyki, przyczyny, zasady minimalizacji występowania i konsekwencji zagrożeń. Systemy Zarządzania Bezpieczeństwem zarządców infrastruktury i przewoźników kolejowych. Ogólne zasady zarządzania ryzykiem w systemach transportowych. Wspólne metody bezpieczeństwa w transporcie szynowym. Wycena i ocena ryzyka podczas realizacji budowy, modernizacji i rewitalizacji infrastruktury transportu szynowego. Niezawodność, dostępność, naprawialność, zawodność sprawności, zawodność bezpieczeństwa. Bezpieczeństwo pożarowe w transporcie szynowym. Zasada ‘uszkodzony – bezpieczny’ oraz poziomy nienaruszalności bezpieczeństwa. Zasady bezpiecznej realizacji prac na terenach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
- Dyrektywa 2004/49/WE Parlamentu Europejskiego i Rady z dnia 29 kwietnia 2004 r. w sprawie bezpieczeństwa kolei wspólnotowych
- Rozporządzenie Wykonawcze Komisji (UE) nr 402/2013 z dnia 30 kwietnia 2013 r. w sprawie wspólnej metody oceny bezpieczeństwa w zakresie wyceny i oceny ryzyka
- Rozporządzenie wykonawcze Komisji (UE) 2015/1136 z dnia 13 lipca 2015 r. zmieniające rozporządzenie wykonawcze (UE) nr 402/2013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WZwTSZW1: </w:t>
      </w:r>
    </w:p>
    <w:p>
      <w:pPr/>
      <w:r>
        <w:rPr/>
        <w:t xml:space="preserve">Przekazanie wiedzy o zasadach minimalizacji zagrożeń pożarowych. Odniesienie do kolejowych norm palnościowych serii EN 45545 oraz zasad realizacji prac na terenach kolejowych. Przekazanie poszerzonej wiedzy o różnego rodzaju zagrożeniach w transporcie szynowym dla pracowników, osób postronnych oraz podróżnych korzystających z transportu mimo realizacji prac budowlanych. Przekazanie wymagań dyrektywy w sprawie bezpieczeństwa w transporcie kolejowym oraz rozporządzeń definiujących sześć wspólnych metod bezpieczeństwa, których stosowanie jest wymagane prawem europejskim.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WZwTSZU1: </w:t>
      </w:r>
    </w:p>
    <w:p>
      <w:pPr/>
      <w:r>
        <w:rPr/>
        <w:t xml:space="preserve">Zbudowanie podstaw umiejętności samodzielnego analizowania zagrożeń, oceny i wyceny ryzyka oraz akceptowalności poziomu bezpieczeństwa.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własnej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2024-05-17T04:57:17+02:00</dcterms:created>
  <dcterms:modified xsi:type="dcterms:W3CDTF">2024-05-17T04:57:17+02:00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