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Kierunki rozwoju infrastruktury dróg szynowych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Karol Brzeziński,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KRIDSZ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1,0 ECTS: ćwiczenia 15 godz., praca własna nad opracowaniem - referatem na zaliczenie 20 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przedmiotów Inżynieria Komunikacyjna i Drogi Szynowe.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na temat kierunków rozwoju infrastruktury dróg szynowych poprzez uczestnictwo w wykładach oraz wykonanie i przedstawienie opracowania w formie prezentacji multimedialnej na zadany przez Prowadzącego temat. Część wykładów będzie współprowadzona przez przedstawicieli firm i instytucji z branży dróg szynowych, aby studenci poznali praktykę działalności w tej specjalności budownictwa.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Kierunki rozwoju infrastruktury dróg szynowych:
- Systemy kolei dużych prędkości na świecie;
- Niekonwencjonalne i innowacyjne systemy miejskiego transportu szynowego;
- Nowoczesne rozwiązania w zakresie konstrukcji dróg szynowych.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Wymagana jest regularna obecność na zajęciach. Zaliczenie przedmiotu na podstawie opracowania - referatu przedstawionego jako prezentacja multimedialna w ramach zajęć. Opracowanie to w formie papierowej i cyfrowej (na płycie CD) należy oddać Prowadzącemu najpóźniej ostatniego dnia semestru, w którym prowadzony jest przedmiot.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Rozporządzenia i normy:
[1] Rozporządzenia Ministra Transportu i Gospodarki Morskiej z dnia 10 września 1998 r. w sprawie warunków technicznych, jakim powinny odpowiadać budowle kolejowe i ich usytuowanie. Dz.U. 1998 nr 151 poz. 987.
[2] Centrum Naukowo – Techniczne Kolejnictwa: Standardy techniczne. Szczegółowe warunki techniczne dla modernizacji lub budowy linii kolejowych do prędkości Vmax ≤ 200 km/h (dla taboru konwencjonalnego) / 250 m/h (dla taboru z wychylnym pudłem). Tom I. Droga szynowa. Wersja 1.1. PKP Polskie Linie Kolejowe S.A., Warszawa 2009.
[3] Rozporządzenie Ministra Transportu i Gospodarki Morskiej z dnia 2 marca 1999 r. w sprawie warunków technicznych, jakim powinny odpowiadać drogi publiczne i ich usytuowanie. Dz.U. 1999 nr 43 poz. 430.
[4] Wytyczne techniczne projektowania, budowy i utrzymania torów tramwajowych. Ministerstwo Administracji, Gospodarki Terenowej i Ochrony Środowiska. Departament Komunikacji Miejskiej i Dróg. Warszawa 1983.
[5] Rozporządzenie Ministra Infrastruktury z dnia 17 czerwca 2011 r. w sprawie warunków technicznych, jakim powinny odpowiadać obiekty budowlane metra i ich usytuowanie. Dz.U. 2011 nr 144 poz. 859.
Podręczniki:
[6] Bałuch H., Bałuch M.: Układy geometryczne toru i ich deformacje. PKP Polskie Linie Kolejowe S.A. Warszawa 2010.
[7] Bałuch H., Bałuch M.: Determinanty prędkości pociągów – układ geometryczny i wady toru. Instytut Kolejnictwa 2010.
[8] Massel A.: Projektowanie linii i stacji kolejowych. PKP Polskie Linie Kolejowe S.A. Warszawa 2010.
[9] Towpik K.: Infrastruktura transportu kolejowego. Oficyna Wydawnicza Politechniki Warszawskiej. Warszawa 2009.
[10] Basiewicz T., Rudziński L., Jacyna M.: Linie Kolejowe. Oficyna Wydawnicza Politechniki Warszawskiej.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www.zds.il.pw.edu.pl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KRIDSZW1: </w:t>
      </w:r>
    </w:p>
    <w:p>
      <w:pPr/>
      <w:r>
        <w:rPr/>
        <w:t xml:space="preserve">Ma pogłębioną wiedzę o projektowaniu, wykonywaniu i eksploatacji elementów infrastruktury komunikacyjnej, a w szczególności infrastruktury dróg szynowych. Ma wiedzę o najistotniejszych nowych osiągnięciach i tendencjach rozwojowych w drogach szynowych oraz w innych dziedzinach budownictwa komunikacyjnego. Ma wiedzę pozwalającą zrozumieć społeczne, ekonomiczne, środowiskowe, prawne i inne uwarunkowania wynikające z planowania, projektowania, budowy i eksploatacji infrastruktury dróg szynowych i innej infrastruktury komunikacyjnej.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K2_W11_DS, K2_W22_DS,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KRIDSZU1: </w:t>
      </w:r>
    </w:p>
    <w:p>
      <w:pPr/>
      <w:r>
        <w:rPr/>
        <w:t xml:space="preserve">Posiada umiejętność przeprowadzenia analizy problemu i wyboru optymalnego rozwiązania. Potrafi stosować podejście systemowe oraz integrować wiedzę o uwarunkowaniach technicznych, technologicznych, ekonomicznych, środowiskowych i społecznych do oceny wariantów rozwiązań w budownictwie komunikacyjnym. 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K2_U16_DS, 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T2A_U07, T2A_U09, T2A_U10, T2A_U12, 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KRIDSZK1: </w:t>
      </w:r>
    </w:p>
    <w:p>
      <w:pPr/>
      <w:r>
        <w:rPr/>
        <w:t xml:space="preserve">Potrafi pracować samodzielnie, współpracować w zespole i kierować zespołem oraz określać priorytety służące realizacji zadań. Ma świadomość konieczności podnoszenia kompetencji zawodowych i osobistych. Potrafi formułować i prezentować opinie, działać w sposób kreatywny i przedsiębiorczy rozwiązując postawione przed nim zadania związane z budownictwem. Ma świadomość ważności i zrozumienia pozatechnicznych aspektów i skutków działalności inżyniera budownictwa, w tym jej wpływu na środowisko i związanej z tym odpowiedzialności za podejmowane decyzje.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prezentacja opracowania - referatu na zadany temat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2026-03-24T22:55:23+01:00</dcterms:created>
  <dcterms:modified xsi:type="dcterms:W3CDTF">2026-03-24T22:55:23+01:00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