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Brzeziński,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KRIDSZ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1,0 ECTS: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
- Systemy kolei dużych prędkości na świecie;
- Niekonwencjonalne i innowacyjne systemy miejskiego transportu szynowego;
- Nowoczesne rozwiązania w zakresie konstrukcji dróg szynowych.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
[1] Rozporządzenia Ministra Transportu i Gospodarki Morskiej z dnia 10 września 1998 r. w sprawie warunków technicznych, jakim powinny odpowiadać budowle kolejowe i ich usytuowanie. Dz.U. 1998 nr 151 poz. 987.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
[3] Rozporządzenie Ministra Transportu i Gospodarki Morskiej z dnia 2 marca 1999 r. w sprawie warunków technicznych, jakim powinny odpowiadać drogi publiczne i ich usytuowanie. Dz.U. 1999 nr 43 poz. 430.
[4] Wytyczne techniczne projektowania, budowy i utrzymania torów tramwajowych. Ministerstwo Administracji, Gospodarki Terenowej i Ochrony Środowiska. Departament Komunikacji Miejskiej i Dróg. Warszawa 1983.
[5] Rozporządzenie Ministra Infrastruktury z dnia 17 czerwca 2011 r. w sprawie warunków technicznych, jakim powinny odpowiadać obiekty budowlane metra i ich usytuowanie. Dz.U. 2011 nr 144 poz. 859.
Podręczniki:
[6] Bałuch H., Bałuch M.: Układy geometryczne toru i ich deformacje. PKP Polskie Linie Kolejowe S.A. Warszawa 2010.
[7] Bałuch H., Bałuch M.: Determinanty prędkości pociągów – układ geometryczny i wady toru. Instytut Kolejnictwa 2010.
[8] Massel A.: Projektowanie linii i stacji kolejowych. PKP Polskie Linie Kolejowe S.A. Warszawa 2010.
[9] Towpik K.: Infrastruktura transportu kolejowego. Oficyna Wydawnicza Politechniki Warszawskiej. Warszawa 2009.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KRIDSZW1: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Ma wiedzę o najistotniejszych nowych osiągnięciach i tendencjach rozwojowych w drogach szynowych oraz w innych dziedzinach budownictwa komunikacyjnego. Ma wiedzę pozwalającą zrozumieć społeczne, ekonomiczne, środowiskowe, prawne i inne uwarunkowania wynikające z planowania, projektowania, budowy i eksploatacji infrastruktury dróg szynowych i innej infrastruktury komunikacyjnej.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KRIDSZU1: </w:t>
      </w:r>
    </w:p>
    <w:p>
      <w:pPr/>
      <w:r>
        <w:rPr/>
        <w:t xml:space="preserve">Posiada umiejętność przeprowadzenia analizy problemu i wyboru optymalnego rozwiązania. Potrafi stosować podejście systemowe oraz integrować wiedzę o uwarunkowaniach technicznych, technologicznych, ekonomicznych, środowiskowych i społecznych do oceny wariantów rozwiązań w budownictwie komunikacyjnym.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KRIDSZK1: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2024-05-17T04:14:18+02:00</dcterms:created>
  <dcterms:modified xsi:type="dcterms:W3CDTF">2024-05-17T04:14:18+02:00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