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w budownictwie komunikacyjnym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EBUKOM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przygotowanie do projektu 5 godz., przygotowanie do sprawdzianu 10 godz., przygotowanie do kolokwium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godz.= 1 ECTS: ćwiczenia 15 godz., przygotowanie do projektu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 projektowania dróg kołowych i szynowych. Umiejętność sporządzania prognoz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 inwestycji w budownictwie komunikacyjnym.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analiz ekonomicznych i finansowych w procesie planowania i programowania inwestycji komunikacyjnych.
Cele, zakres i zasady rachunku efektywności ekonomicznej i finansowej inwestycji.
Metody uwzględnienia czynnika czasu w analizach efektywności.
Metody szacowania kosztów i korzyści ekonomicznych.
Miary efektywności ekonomicznej i finansowej: NPV, BCR, IRR.
Analizy ryzyka i wrażliwości.
Opłaty za korzystanie z dróg i parkingów oraz wjazd do miasta/centrum.
Analizy gotowości do płacenia.
Zasady finansowania inwestycji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 ćwiczenia: kolokwium zaliczeniowe
• wykład: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
[2] Metodyka sporządzania analiz kosztów i korzyści projektów inwestycyjnych w sektorze transportu –
podręcznik dla beneficjentów środków pomocowych UE;
[3] Aktualne przepisy prawne dotyczące przygotowania, finansowania i realizacji inwestycji;
[4] Niebieska Księga. Infrastruktura drogowa;
[5] Niebieska Księga. Sektor transportu publicznego;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EBUKOMW1: </w:t>
      </w:r>
    </w:p>
    <w:p>
      <w:pPr/>
      <w:r>
        <w:rPr/>
        <w:t xml:space="preserve">Ma wiedzę dotyczącą planowania, programowania i finansowania inwestycji komunikacyjnych.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K2_W19_IK, K2_W20_IK,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T2A_W07, T2A_W09,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EBUKOMU1: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K2_U16_IK, K2_U17_IK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T2A_U07, T2A_U09, T2A_U10, T2A_U11, T2A_U16,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EBUKOMK1: </w:t>
      </w:r>
    </w:p>
    <w:p>
      <w:pPr/>
      <w:r>
        <w:rPr/>
        <w:t xml:space="preserve">Ma świadomość ważności i zrozumienia pozatechnicznych aspektów i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2024-05-17T06:49:11+02:00</dcterms:created>
  <dcterms:modified xsi:type="dcterms:W3CDTF">2024-05-17T06:49:11+02:00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