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WYCHFI2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wędrowynych.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WYCHFI2K1: </w:t>
      </w:r>
    </w:p>
    <w:p>
      <w:pPr/>
      <w:r>
        <w:rPr/>
        <w:t xml:space="preserve">kształtowanie potrzeby aktywności fizycznej jako niezbędnego elementu życia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2026-04-18T16:57:13+02:00</dcterms:created>
  <dcterms:modified xsi:type="dcterms:W3CDTF">2026-04-18T16:57:13+02:00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