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1150-MB000-ISP-0420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- 150 godz. projektu.
2) Praca własna studenta – 235 godz., w tym:
a) studia literaturowe: 10 godz.;
b) praca nad przygotowaniem pracy dyplomowej: 225 godz.
3) RAZEM – 385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 punktów ECTS – 150 godz.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ECTS - 375 godzin pracy studenta, w tym: 
a) udział w ćwiczeniach projektowych - 150 godzin;
b) praca nad przygotowaniem pracy dyplomowej – 225 godzin.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opracowanie przez studenta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pracę własną studenta w zakresie niezbędnym do realizacji pracy dyplomowej określonym w porozumieniu z promotorem pracy. Tematyka pracy dyplomowej powinna być powiązana z realizowanym kierunkiem studiów. Praca dyplomowa inżynierska powinna wykazać posiadanie przez dyplomanta umiejętności rozwiązywania problemów, opartej na znajomości podstaw teoretycznych lub doświadczeniach empirycznych oraz wykorzystywania znanych metod, analiz i/lub komputerowych programów dotyczących rozpatrywanego problemu. Praca dyplomowa powinna stanowić rozwiązanie wskazanego dyplomantowi zadania na podstawie informacji znajdujących się w dostępnym piśmiennictwie. Praca dyplomowa inżynierska powinna dotyczyć procesów i urządzeń technicznych i technologicznych. Przedmiotem pracy dyplomowej inżynierskiej może być w szczególności: rozwiązanie zadania z zakresu projektowania, wytwarzania lub eksploatacji urządzeń technicznych i obiektów, wykonanie badań wraz z analizą uzyskanych wyników, opracowanie programu komputerowego o odpowiednim stopniu trudności.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jest na podstawie zrealizowanej pracy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1150-MB000-ISP-0420-W1: </w:t>
      </w:r>
    </w:p>
    <w:p>
      <w:pPr/>
      <w:r>
        <w:rPr/>
        <w:t xml:space="preserve">Ma podstawową wiedzę w zakresie budowy maszyn i pojazdów; orientuje się w ich obecnym stanie oraz najnowszych trendach rozwojowych.
Posiada wiedzę jak pozyskiwać dane z literatury i baz danych; potrafi ocenić działanie zasad i praw dotyczących ochrony własności intelektualnej.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KMiBM_W14, KMiBM_W22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InzA_W02, T1A_W10,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1150-MB000-ISP-0420_U1: </w:t>
      </w:r>
    </w:p>
    <w:p>
      <w:pPr/>
      <w:r>
        <w:rPr/>
        <w:t xml:space="preserve">Potrafi zaprojektować proste urządzenie, system lub proces, używając właściwych metod, technik i narzędzi z uwzględnieniem zastosowania odpowiednich materiałów i technologii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KMiBM_U11, KMiBM_U14, 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T1A_U12, T1A_U13, T1A_U12, T1A_U14, T1A_U16, InzA_U04,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1150-MB000-ISP-0420_U2: </w:t>
      </w:r>
    </w:p>
    <w:p>
      <w:pPr/>
      <w:r>
        <w:rPr/>
        <w:t xml:space="preserve">Potrafi dokonać wstępnej analizy ekonomicznej projektowanych rozwiązań konstrukcyjnych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1150-MB000-ISP-0420_U3: </w:t>
      </w:r>
    </w:p>
    <w:p>
      <w:pPr/>
      <w:r>
        <w:rPr/>
        <w:t xml:space="preserve">Potrafi pozyskiwać dane z literatury i baz danych; potrafi ocenić działanie zasad i praw dotyczących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KMiBM_U03, KMiBM_U04,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InzA_U06, T1A_U12, InzA_U06, T2A_U01, T2A_U02, T2A_U07, InzA_U05</w:t>
      </w:r>
    </w:p>
    <w:p>
      <w:pPr>
        <w:keepNext w:val="1"/>
        <w:spacing w:after="10"/>
      </w:pPr>
      <w:r>
        <w:rPr>
          <w:b/>
          <w:bCs/>
        </w:rPr>
        <w:t xml:space="preserve">Efekt 1150-MB000-ISP-0420_U4: </w:t>
      </w:r>
    </w:p>
    <w:p>
      <w:pPr/>
      <w:r>
        <w:rPr/>
        <w:t xml:space="preserve">Potrafi przygotować przejrzyste pisemne opracowanie i lub prezentację, rozważając wady i zalety różnych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KMiBM_U21, KMiBM_U22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1150-MB000-ISP-0420_K1: </w:t>
      </w:r>
    </w:p>
    <w:p>
      <w:pPr/>
      <w:r>
        <w:rPr/>
        <w:t xml:space="preserve">Ma świadomość roli absolwenta uczelni technicznej w przekazywaniu szerszemu gremium osiągnięć mechaniki i budowy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KMiBM_K02, KMiBM_K04, KMiBM_K06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T1A_K04, InzA_K02,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2026-07-28T00:04:57+02:00</dcterms:created>
  <dcterms:modified xsi:type="dcterms:W3CDTF">2026-07-28T00:04:57+02:00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