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45 godzin, w tym:
a) 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1150-MBWIB-ISP-0404_K1: </w:t>
      </w:r>
    </w:p>
    <w:p>
      <w:pPr/>
      <w:r>
        <w:rPr/>
        <w:t xml:space="preserve">Jest świadom zagrożeń wibroakustycznych występujących w środowisku człowieka  i umie przekazać informacje o nich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2024-05-17T05:29:00+02:00</dcterms:created>
  <dcterms:modified xsi:type="dcterms:W3CDTF">2024-05-17T05:29:00+02:00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