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funkcjonalne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wykład – 15 godz.;
b) laboratorium – 15 godz.
2) Praca własna studenta -  30 godzin, w tym:
a)	 5 godz. – bieżące przygotowywanie się studenta do wykładu;
b)	 5 godz. – przygotowywanie się studenta do kolokwium; 
d)	 10 godz. – przygotowywanie się studenta do ćwiczeń;
e)	 10 godz. – wykonanie postawionych zadań.
3) RAZEM –60 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- 30, w tym:
a) wykład – 15 godz.;
b) ćwiczenia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35 godz., w tym:
1) ćwiczenia – 15 godz.;
2) 10 godz. – przygotowywanie się do ćwiczeń;
3) 10 godz. – opracowanie zadań,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celu i zasad modelowania maszyn roboczych. Nabycie podstawowych umiejętność definiowania celu i budowania modeli funkcjonalnych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zasady modelowania Zasady opracowania modeli funkcjonalnych, Metodyka analizy funkcjonalnej  MR Metodyka budowy modeli funkcjonalnych. Przykłady budowania modeli funkcjonalnych maszyn i typowych układów kinematycznych i dynamicznych koparki, ładowarki, spycharki, zgarniarki, suwnicy, dźwigu osobowego, żurawia wieżowego i teleskopowego, wózka widłowego, ciągnika rolniczego i wózka widłowego. Budowa modeli funkcjonalnych oddziaływania na środowisko. Opracowanie algorytmów działania systemu komputera pokładowego w zakresie sterowania układem przeniesienia napędu oraz sterowania osprzętem, Dobór maszyny do zadania.
Ćwiczenia. Opracowanie modeli funkcjonalnych maszyn i typowych układów kinematycznych i dynamicznych koparki, ładowarki, spycharki, zgarniarki, suwnicy, dźwigu osobowego, żurawia wieżowego i teleskopowego, wózka widłowego, ciągnika rolniczego i wózka widłowego. Budowa modeli funkcjonalnych oddziaływania na środowisko. Opracowanie algorytmów działania. Dobór maszyny do zadania.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kolokwium.
Ćwiczenia:
Wymóg przygotowania do zajęć weryfikowany podczas ich trwania przy opracowywaniu modeli funkcjonalnych, algorytmów pracy maszyn i doboru maszyn do postawionego przez prowadzącego zadania. Praca w zespole przy budowie modeli funkcjonalnych maszyn podczas zajęć. Sprawdzian na ostatnich zajęciach oraz aktywność podczas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
2.	Zaawansowane metody automatyzacji pracy maszyn roboczych, Wyd. ITEE Radom 2013 
3.	Wrycza, S., Marcinkowski, B., &amp; Grupa Wydawnicza Helion. (2010). Język inżynierii systemów SysML : Architektura i zastosowania : Profile UML 2.x w praktyce. Gliwice: Helion.
4.	Brzeżański, M., Juda, Z., Robert Bosch GmbH, &amp; Wydawnictwa Komunikacji i Łączności. (2010). Czujniki w pojazdach samochodowych (Wyd. 2 rozsz. (dodr.). ed., Informatory Techniczne Bosch). Warszawa: Wydawnictwa Komunikacji i Łączności.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1150-MT000-ISP-0338_W1: </w:t>
      </w:r>
    </w:p>
    <w:p>
      <w:pPr/>
      <w:r>
        <w:rPr/>
        <w:t xml:space="preserve">Ma wiedzę o konstrukcji i funkcjonowaniu maszyn roboczych ich  elementów  i podsystemów.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KMchtr_W16, KMChtr_W17,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InzA_W02, T1A_W03, T1A_W04, T1A_W07, InzA_W02, InzA_W05, T1A_W05</w:t>
      </w:r>
    </w:p>
    <w:p>
      <w:pPr>
        <w:keepNext w:val="1"/>
        <w:spacing w:after="10"/>
      </w:pPr>
      <w:r>
        <w:rPr>
          <w:b/>
          <w:bCs/>
        </w:rPr>
        <w:t xml:space="preserve">Efekt 1150-MT000-ISP-0338_W2: </w:t>
      </w:r>
    </w:p>
    <w:p>
      <w:pPr/>
      <w:r>
        <w:rPr/>
        <w:t xml:space="preserve">Ma wiedzę na temat budowy modelu funkcjonalnego: elementów, podsystemów i systemów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1150-MT000-ISP-0338_W3: </w:t>
      </w:r>
    </w:p>
    <w:p>
      <w:pPr/>
      <w:r>
        <w:rPr/>
        <w:t xml:space="preserve">Ma wiedzę na temat modelowania systemów mechatronicznych i napędowych 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KMchtr_W12, KMchtr_W18,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InzA_W02, T1A_W03, T1A_W04, T1A_W07, InzA_W02, T1A_W05</w:t>
      </w:r>
    </w:p>
    <w:p>
      <w:pPr>
        <w:keepNext w:val="1"/>
        <w:spacing w:after="10"/>
      </w:pPr>
      <w:r>
        <w:rPr>
          <w:b/>
          <w:bCs/>
        </w:rPr>
        <w:t xml:space="preserve">Efekt 1150-MT000-ISP-0338_W4: </w:t>
      </w:r>
    </w:p>
    <w:p>
      <w:pPr/>
      <w:r>
        <w:rPr/>
        <w:t xml:space="preserve">Zna zasady budowania modeli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KMchtr_W12, KMchtr_W18, KMchtr_W19,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InzA_W02, T1A_W03, T1A_W04, T1A_W07, InzA_W02, T1A_W05,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1150-MT000-ISP-0338_U1: </w:t>
      </w:r>
    </w:p>
    <w:p>
      <w:pPr/>
      <w:r>
        <w:rPr/>
        <w:t xml:space="preserve">Potrafi dobrać maszynę do zadania i opracować algorytm jej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InzA_U02, T1A_U16</w:t>
      </w:r>
    </w:p>
    <w:p>
      <w:pPr>
        <w:keepNext w:val="1"/>
        <w:spacing w:after="10"/>
      </w:pPr>
      <w:r>
        <w:rPr>
          <w:b/>
          <w:bCs/>
        </w:rPr>
        <w:t xml:space="preserve">Efekt 1150-MT000-ISP-0338_U2: </w:t>
      </w:r>
    </w:p>
    <w:p>
      <w:pPr/>
      <w:r>
        <w:rPr/>
        <w:t xml:space="preserve">Potrafi zbudować model funkcjonalny: elementów, podsystemów i systemów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KMchtr_U10, KMchtr_U15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InzA_U02, 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1150-MT000-ISP-0338_U3: </w:t>
      </w:r>
    </w:p>
    <w:p>
      <w:pPr/>
      <w:r>
        <w:rPr/>
        <w:t xml:space="preserve"> Modeluje systemy mechatroniczne i napędowe 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realizowanych w ramach ćwiczeń zadań i  aktywność studenta w ramach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1150-MT000-ISP-0338_K1: </w:t>
      </w:r>
    </w:p>
    <w:p>
      <w:pPr/>
      <w:r>
        <w:rPr/>
        <w:t xml:space="preserve">Potrafi współdziałać i pracować w grupie przy realizacji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2025-12-28T21:10:12+01:00</dcterms:created>
  <dcterms:modified xsi:type="dcterms:W3CDTF">2025-12-28T21:10:12+01:00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