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1150-MT000-ISP-0119</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- 45 godz.
2) Praca własna studenta: 30 godzin, w tym:
a)	10 godzin na studia literaturowe, 
b)	10 godzin na przygotowanie do zajęć, 
c)	10 godzin na przygotowanie do sprawdzianów.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punktu ECTS – liczba godzin kontaktowych: wykład - 45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kolokwium obejmującego obróbkę plastyczną,
•	20 pkt. z kolokwium obejmującego odlewnictwo i spawalnictwo,  
•	25 pkt. z kolokwium obejmującego obróbkę skrawaniem i obrabiarki.
3.	Dodatkowym warunkiem uzyskania zaliczenia jest uzyskanie minimum 25% punktów z każdego kolokwium, tzn.:
•	minimum 3.5 pkt. z obróbki plastycznej,
•	minimum 5 pkt. ze spawalnictwa i odlewnictwa,  
•	minimum 6 pkt. z obróbki skrawaniem i obrabiarek.
4.	W przypadku nie spełnienia warunków zaliczenia przedmiotu studentowi przysługuje prawo do poprawy wszystkich  lub tylko wybranych kolokwiów na zbiorczym kolokwium poprawkowym przeprowadzanym na ostatnich zajęciach. 
5.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KMChtr_W04</w:t>
      </w:r>
    </w:p>
    <w:p>
      <w:pPr>
        <w:spacing w:before="20" w:after="190"/>
      </w:pPr>
      <w:r>
        <w:rPr>
          <w:b/>
          <w:bCs/>
        </w:rPr>
        <w:t xml:space="preserve">Powiązane efekty obszarowe: </w:t>
      </w:r>
      <w:r>
        <w:rPr/>
        <w:t xml:space="preserve">T1A_W03, T1A_W04, InzA_W02</w:t>
      </w:r>
    </w:p>
    <w:p>
      <w:pPr>
        <w:keepNext w:val="1"/>
        <w:spacing w:after="10"/>
      </w:pPr>
      <w:r>
        <w:rPr>
          <w:b/>
          <w:bCs/>
        </w:rPr>
        <w:t xml:space="preserve">Efekt 1150-MT000-ISP-0119_W02: </w:t>
      </w:r>
    </w:p>
    <w:p>
      <w:pPr/>
      <w:r>
        <w:rPr/>
        <w:t xml:space="preserve">Student zna podstawowe typy obrabiarek skrawających i  ich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w:t>
      </w:r>
    </w:p>
    <w:p>
      <w:pPr>
        <w:spacing w:before="20" w:after="190"/>
      </w:pPr>
      <w:r>
        <w:rPr>
          <w:b/>
          <w:bCs/>
        </w:rPr>
        <w:t xml:space="preserve">Powiązane efekty obszarowe: </w:t>
      </w:r>
      <w:r>
        <w:rPr/>
        <w:t xml:space="preserve">T1A_W04, T1A_W07, InzA_W02, T1A_W03, T1A_W04, T1A_W07, InzA_W02, InzA_W05</w:t>
      </w:r>
    </w:p>
    <w:p>
      <w:pPr>
        <w:keepNext w:val="1"/>
        <w:spacing w:after="10"/>
      </w:pPr>
      <w:r>
        <w:rPr>
          <w:b/>
          <w:bCs/>
        </w:rPr>
        <w:t xml:space="preserve">Efekt 1150-MT000-ISP-0119_W03: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w:t>
      </w:r>
    </w:p>
    <w:p>
      <w:pPr>
        <w:spacing w:before="20" w:after="190"/>
      </w:pPr>
      <w:r>
        <w:rPr>
          <w:b/>
          <w:bCs/>
        </w:rPr>
        <w:t xml:space="preserve">Powiązane efekty obszarowe: </w:t>
      </w:r>
      <w:r>
        <w:rPr/>
        <w:t xml:space="preserve">T1A_W04, T1A_W07, InzA_W02, T1A_W03, T1A_W04, T1A_W07, InzA_W02, InzA_W05</w:t>
      </w:r>
    </w:p>
    <w:p>
      <w:pPr>
        <w:keepNext w:val="1"/>
        <w:spacing w:after="10"/>
      </w:pPr>
      <w:r>
        <w:rPr>
          <w:b/>
          <w:bCs/>
        </w:rPr>
        <w:t xml:space="preserve">Efekt 1150-MT000-ISP-0119_W04: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keepNext w:val="1"/>
        <w:spacing w:after="10"/>
      </w:pPr>
      <w:r>
        <w:rPr>
          <w:b/>
          <w:bCs/>
        </w:rPr>
        <w:t xml:space="preserve">Efekt 1150-MT000-ISP-0119_W05: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KMchtr_W20</w:t>
      </w:r>
    </w:p>
    <w:p>
      <w:pPr>
        <w:spacing w:before="20" w:after="190"/>
      </w:pPr>
      <w:r>
        <w:rPr>
          <w:b/>
          <w:bCs/>
        </w:rPr>
        <w:t xml:space="preserve">Powiązane efekty obszarowe: </w:t>
      </w:r>
      <w:r>
        <w:rPr/>
        <w:t xml:space="preserve">T1A_W06</w:t>
      </w:r>
    </w:p>
    <w:p>
      <w:pPr>
        <w:keepNext w:val="1"/>
        <w:spacing w:after="10"/>
      </w:pPr>
      <w:r>
        <w:rPr>
          <w:b/>
          <w:bCs/>
        </w:rPr>
        <w:t xml:space="preserve">Efekt 1150-MT000-ISP-0119_W06: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KMChtr_W04</w:t>
      </w:r>
    </w:p>
    <w:p>
      <w:pPr>
        <w:spacing w:before="20" w:after="190"/>
      </w:pPr>
      <w:r>
        <w:rPr>
          <w:b/>
          <w:bCs/>
        </w:rPr>
        <w:t xml:space="preserve">Powiązane efekty obszarowe: </w:t>
      </w:r>
      <w:r>
        <w:rPr/>
        <w:t xml:space="preserve">T1A_W03, T1A_W04, InzA_W02</w:t>
      </w:r>
    </w:p>
    <w:p>
      <w:pPr>
        <w:keepNext w:val="1"/>
        <w:spacing w:after="10"/>
      </w:pPr>
      <w:r>
        <w:rPr>
          <w:b/>
          <w:bCs/>
        </w:rPr>
        <w:t xml:space="preserve">Efekt 1150-MT000-ISP-0119_W07: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 KMchtr_W20</w:t>
      </w:r>
    </w:p>
    <w:p>
      <w:pPr>
        <w:spacing w:before="20" w:after="190"/>
      </w:pPr>
      <w:r>
        <w:rPr>
          <w:b/>
          <w:bCs/>
        </w:rPr>
        <w:t xml:space="preserve">Powiązane efekty obszarowe: </w:t>
      </w:r>
      <w:r>
        <w:rPr/>
        <w:t xml:space="preserve">T1A_W04, T1A_W07, InzA_W02, T1A_W03, T1A_W04, T1A_W07, InzA_W02, InzA_W05, T1A_W06</w:t>
      </w:r>
    </w:p>
    <w:p>
      <w:pPr>
        <w:keepNext w:val="1"/>
        <w:spacing w:after="10"/>
      </w:pPr>
      <w:r>
        <w:rPr>
          <w:b/>
          <w:bCs/>
        </w:rPr>
        <w:t xml:space="preserve">Efekt 1150-MT000-ISP-0119_W08: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 KMchtr_W20</w:t>
      </w:r>
    </w:p>
    <w:p>
      <w:pPr>
        <w:spacing w:before="20" w:after="190"/>
      </w:pPr>
      <w:r>
        <w:rPr>
          <w:b/>
          <w:bCs/>
        </w:rPr>
        <w:t xml:space="preserve">Powiązane efekty obszarowe: </w:t>
      </w:r>
      <w:r>
        <w:rPr/>
        <w:t xml:space="preserve">T1A_W04, T1A_W07, InzA_W02, T1A_W03, T1A_W04, T1A_W07, InzA_W02, InzA_W05, T1A_W06</w:t>
      </w:r>
    </w:p>
    <w:p>
      <w:pPr>
        <w:keepNext w:val="1"/>
        <w:spacing w:after="10"/>
      </w:pPr>
      <w:r>
        <w:rPr>
          <w:b/>
          <w:bCs/>
        </w:rPr>
        <w:t xml:space="preserve">Efekt 1150-MT000-ISP-0119_W09: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 KMchtr_W20</w:t>
      </w:r>
    </w:p>
    <w:p>
      <w:pPr>
        <w:spacing w:before="20" w:after="190"/>
      </w:pPr>
      <w:r>
        <w:rPr>
          <w:b/>
          <w:bCs/>
        </w:rPr>
        <w:t xml:space="preserve">Powiązane efekty obszarowe: </w:t>
      </w:r>
      <w:r>
        <w:rPr/>
        <w:t xml:space="preserve">T1A_W04, T1A_W07, InzA_W02, T1A_W03, T1A_W04, T1A_W07, InzA_W02, InzA_W05, T1A_W06</w:t>
      </w:r>
    </w:p>
    <w:p>
      <w:pPr>
        <w:keepNext w:val="1"/>
        <w:spacing w:after="10"/>
      </w:pPr>
      <w:r>
        <w:rPr>
          <w:b/>
          <w:bCs/>
        </w:rPr>
        <w:t xml:space="preserve">Efekt 1150-MT000-ISP-0119_W10: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KMchtr_W06</w:t>
      </w:r>
    </w:p>
    <w:p>
      <w:pPr>
        <w:spacing w:before="20" w:after="190"/>
      </w:pPr>
      <w:r>
        <w:rPr>
          <w:b/>
          <w:bCs/>
        </w:rPr>
        <w:t xml:space="preserve">Powiązane efekty obszarowe: </w:t>
      </w:r>
      <w:r>
        <w:rPr/>
        <w:t xml:space="preserve">T1A_W04, InzA_W04</w:t>
      </w:r>
    </w:p>
    <w:p>
      <w:pPr>
        <w:pStyle w:val="Heading3"/>
      </w:pPr>
      <w:bookmarkStart w:id="3" w:name="_Toc3"/>
      <w:r>
        <w:t>Profil ogólnoakademicki - umiejętności</w:t>
      </w:r>
      <w:bookmarkEnd w:id="3"/>
    </w:p>
    <w:p>
      <w:pPr>
        <w:keepNext w:val="1"/>
        <w:spacing w:after="10"/>
      </w:pPr>
      <w:r>
        <w:rPr>
          <w:b/>
          <w:bCs/>
        </w:rPr>
        <w:t xml:space="preserve">Efekt 1150-MT000-ISP-0119_U01: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KMchtr_U24</w:t>
      </w:r>
    </w:p>
    <w:p>
      <w:pPr>
        <w:spacing w:before="20" w:after="190"/>
      </w:pPr>
      <w:r>
        <w:rPr>
          <w:b/>
          <w:bCs/>
        </w:rPr>
        <w:t xml:space="preserve">Powiązane efekty obszarowe: </w:t>
      </w:r>
      <w:r>
        <w:rPr/>
        <w:t xml:space="preserve">T1A_U15, InzA_U05</w:t>
      </w:r>
    </w:p>
    <w:p>
      <w:pPr>
        <w:keepNext w:val="1"/>
        <w:spacing w:after="10"/>
      </w:pPr>
      <w:r>
        <w:rPr>
          <w:b/>
          <w:bCs/>
        </w:rPr>
        <w:t xml:space="preserve">Efekt 1150-MT000-ISP-0119_U02: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1150-MT000-ISP-0119_U04: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1150-MT000-ISP-0119_U05: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1150-MT000-ISP-0119_U06: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KMchtr_U24</w:t>
      </w:r>
    </w:p>
    <w:p>
      <w:pPr>
        <w:spacing w:before="20" w:after="190"/>
      </w:pPr>
      <w:r>
        <w:rPr>
          <w:b/>
          <w:bCs/>
        </w:rPr>
        <w:t xml:space="preserve">Powiązane efekty obszarowe: </w:t>
      </w:r>
      <w:r>
        <w:rPr/>
        <w:t xml:space="preserve">T1A_U15, InzA_U05</w:t>
      </w:r>
    </w:p>
    <w:p>
      <w:pPr>
        <w:pStyle w:val="Heading3"/>
      </w:pPr>
      <w:bookmarkStart w:id="4" w:name="_Toc4"/>
      <w:r>
        <w:t>Profil ogólnoakademicki - kompetencje społeczne</w:t>
      </w:r>
      <w:bookmarkEnd w:id="4"/>
    </w:p>
    <w:p>
      <w:pPr>
        <w:keepNext w:val="1"/>
        <w:spacing w:after="10"/>
      </w:pPr>
      <w:r>
        <w:rPr>
          <w:b/>
          <w:bCs/>
        </w:rPr>
        <w:t xml:space="preserve">Efekt 1150-MT000-ISP-0119_K01: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efekty kierunkowe: </w:t>
      </w:r>
      <w:r>
        <w:rPr/>
        <w:t xml:space="preserve">KMchtr_K03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2026-01-13T21:30:30+01:00</dcterms:created>
  <dcterms:modified xsi:type="dcterms:W3CDTF">2026-01-13T21:30:30+01:00</dcterms:modified>
</cp:coreProperties>
</file>

<file path=docProps/custom.xml><?xml version="1.0" encoding="utf-8"?>
<Properties xmlns="http://schemas.openxmlformats.org/officeDocument/2006/custom-properties" xmlns:vt="http://schemas.openxmlformats.org/officeDocument/2006/docPropsVTypes"/>
</file>