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- 49 godz., w tym:,
a) wykład - 30 godz.;
b) laboratorium- 15 godz.;
c) konsultacje - 2 godz.;
d) egzamin - 2 godz..
2) Praca własna studenta – 51 godz., w tym:
a) studia literaturowe: 12 godz.;
b) przygotowanie do zajęć: 14 godz.;
c) przygotowania do egzamin: 15 godz.;
d) opracowanie sprawozdań: 10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– liczba godzin kontaktowych - 49, w tym:
a) wykład - 30 godz.;
b) laboratorium- 15 godz.;
c) konsultacje - 2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wiedzy na temat budowy i zasad działania układów mechatronicznych pojazdów, a także nabycie przez nich  umiejętności wykonania pomiarów i diagnostyki podstawowych układów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 zasady działania, budowy oraz przykładów zastosowania: czujniki, aktywatory - przegląd; Układy zasilania i sterowania silników o ZI; Układ zasilania i sterowania silników o ZS; Diagnostyka pokładowa; Układy doładowania silnika; Zaawansowane układy hamulcowe – BAS itp.; Zaawansowane układy sterowania (zmienne fazy rozrządu itp.); Nowoczesne układy przeniesienia napędu (koła dwumasowe, sprzęgła samo nastawialne itp.); Zaawansowane układy kierownicze; Uniwersalne sterowniki silników o ZI; Mapy wtrysku; Sterowanie instalacjami wtrysku paliw alternatywnych; Budowa układów sterowania silników wielopaliwowych; Platformy autonomiczne; Rolnictwo precyzyjne; Zaawansowane rozwiązania skrzyń biegów automatycznych i półautomatycznych; Zawieszenia aktywne (hydropneumatyczne itp.); Układy ACC.
Laboratorium: Praktyczne zapoznanie się z zasadą działania i diagnostyką układów mechatronicznych. Zintegrowany system sterowania pracy silnikiem typu Motronic. Układ kierowniczy ze wspomaganiem hydrauliczno-elektrycznym. Mechatroniczne sterowanie silnikiem o ZS typu Common Rail. Ocena parametrów pracy silnika wielopaliwowego. Badanie map wtrysku sterowników silnika. Programowanie uniwersalnych sterowników ZI. Sprawdzanie geometrii samochodu.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egzaminu.
Laboratorium:
Przed rozpoczęciem ćwiczenia sprawdzane jest przygotowanie studentów (tzw. „wejściówka”).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 	D. Schmidt (edytor): Mechatronika. REA, Warszawa, 2002. 
3. 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1150-MT000-ISP-0321_W1: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1150-MT000-ISP-0321_W2: </w:t>
      </w:r>
    </w:p>
    <w:p>
      <w:pPr/>
      <w:r>
        <w:rPr/>
        <w:t xml:space="preserve">Posiada wiedzę o podstawach diagnostyki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1150-MT000-ISP-0321_W3: </w:t>
      </w:r>
    </w:p>
    <w:p>
      <w:pPr/>
      <w:r>
        <w:rPr/>
        <w:t xml:space="preserve">Posiada wiedze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1150-MT000-ISP-0321_U1: </w:t>
      </w:r>
    </w:p>
    <w:p>
      <w:pPr/>
      <w:r>
        <w:rPr/>
        <w:t xml:space="preserve">Potrafi przeprowadzić diagnostykę układów mechatronicznych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KMchtr_U12, KMchtr_U13, KMchtr_U14, KMchtr_U15, KMChtr_U16, KMchtr_U17, KMchtr_U18,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T1A_U07, T1A_U08, InzA_U01, T1A_U08, T1A_U13, InzA_U01, T1A_U14, InzA_U06, T1A_U11, T1A_U12, InzA_U06, InzA_U08, T1A_U08, T1A_U09, T1A_U10, T1A_U08, T1A_U09, T1A_U15, T1A_U16,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2026-07-02T08:28:35+02:00</dcterms:created>
  <dcterms:modified xsi:type="dcterms:W3CDTF">2026-07-02T08:28:35+02:00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