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Włodzimierz Buchowicz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Chemia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1020-MB000-IZP-0109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- 10, w tym:
a) wykład - 9 godz.;
b) sprawdzian pisemny - 1 godz.;
2) Praca własna studenta – 40 godzin, w tym:
a)	25 godz. – rozwiązywanie zadań treningowych przygotowanych przez wykładowcę, studia literaturowe,
b)	15 godz. – przygotowywanie się studenta do sprawdzianu.
3) RAZEM –50 suma godzin pracy własnej i godzin kontaktowych.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 punktów ECTS– liczba godzin kontaktowych - 10, w tym:
a) wykład - 9 godz.;
b) sprawdzian pisemny - 1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zarzadzeniem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studenta ogólnej wiedzy z wybranych działów chemii: ogólnej, nieorganicznej, fizycznej i organicznej. Student powinien umieć opisać i zinterpretować podstawowe zjawiska i przemiany chemiczne, a także rozwiązać proste zadania obliczeniowe z zakresu chemii. Student powinien rozumieć konieczność samodzielnego dokształcania się i podnoszenia poziomu swojej wiedzy.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Budowa pierwiastków i związków chemicznych. Wartościowość. Atomy i cząsteczki. Izotopy. Układ okresowy pierwiastków. Prawo okresowości. Metale i niemetale. Elektroujemność pierwiastków. Prawo zachowania masy. Prawo stałości składu chemicznego. Mol i masa molowa. Prawo Avogadra. Stechiometria reakcji. Obliczenia chemiczne. Mol i masa molowa. Podstawowe obliczenia stechiometryczne przemian chemicznych. Stężenia roztworów. Typy wiązań chemicznych. 
Elementy chemii fizycznej. Termochemia, reakcje egzoenergetyczne i endoenergetyczne. Termodynamiczny warunek równowagi chemicznej. Stała równowagi chemicznej. Kinetyka chemiczna, szybkość reakcji. Kataliza i katalizatory.
Elementy chemii nieorganicznej. Podział związków nieorganicznych na: tlenki, wodorki, wodorotlenki, kwasy, sole. Typy reakcji chemicznych: synteza, rozkład, wymiana, redoks. Stopień utlenienia.
Elementy chemii organicznej. Węglowodory nasycone i nienasycone. Szeregi homologiczne alkanów, alkenów, alkinów, węglowodory aromatyczne. Podstawowe reakcje węglowodorów (substytucja rodnikowa, substytucja elektrofilowa, addycja, eliminacja). Przerób ropy naftowej.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Bielański, Chemia ogólna i nieorganiczna, PWN, 1977.
•	W. Trzebiatowski, Chemia nieorganiczna, PWN, 1977.
•	W. Danikiewicz, Chemia organiczna, WSiP, 1995.
•	T. Drapała, Podstawy chemii, WSiP, 1992.
•	K. Pigoń, Z. Ruziewicz, Chemia fizyczna, PWN
•	Śliwa, Obliczenia Chemiczne. Zbiór zadań z chemii nieorganicznej i analitycznej wraz z podstawami teoretycznymi, PWN.
•	M. Dubiel, J. Pabian, Chemia Vademecum, Wydawnictwo Greg.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1020-MB000-IZP-0109_W1: </w:t>
      </w:r>
    </w:p>
    <w:p>
      <w:pPr/>
      <w:r>
        <w:rPr/>
        <w:t xml:space="preserve">Student ma podstawową wiedzę z chemii ogólnej, nieorganicznej, fizycznej i organicznej.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KMiBM_W02, 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InzA_W02, InzA_W03</w:t>
      </w:r>
    </w:p>
    <w:p>
      <w:pPr>
        <w:keepNext w:val="1"/>
        <w:spacing w:after="10"/>
      </w:pPr>
      <w:r>
        <w:rPr>
          <w:b/>
          <w:bCs/>
        </w:rPr>
        <w:t xml:space="preserve">Efekt 1020-MB000-IZP-0109_W2: </w:t>
      </w:r>
    </w:p>
    <w:p>
      <w:pPr/>
      <w:r>
        <w:rPr/>
        <w:t xml:space="preserve">Student potrafi opisać podstawowe pojęcia dotyczące przemian i zjawisk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1020-MB000-IZP-0109_U1: </w:t>
      </w:r>
    </w:p>
    <w:p>
      <w:pPr/>
      <w:r>
        <w:rPr/>
        <w:t xml:space="preserve">Student potrafi rozwiązywać proste zadania obliczeniowe z poznanych działów chemii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KMiBM_U02, KMiBM_U19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T1A_U01, T1A_U02, T1A_U07, InzA_U05</w:t>
      </w:r>
    </w:p>
    <w:p>
      <w:pPr>
        <w:keepNext w:val="1"/>
        <w:spacing w:after="10"/>
      </w:pPr>
      <w:r>
        <w:rPr>
          <w:b/>
          <w:bCs/>
        </w:rPr>
        <w:t xml:space="preserve">Efekt 1020-MB000-IZP-0109_U2: </w:t>
      </w:r>
    </w:p>
    <w:p>
      <w:pPr/>
      <w:r>
        <w:rPr/>
        <w:t xml:space="preserve">Student potrafi napisać i zinterpretować podstawowe równania reakcji chemicznych dla związków nieorganicznych i organicznych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KMiBM_U02, KMiBM_U19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T1A_U01, T1A_U02, T1A_U07, InzA_U05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2024-05-14T02:52:34+02:00</dcterms:created>
  <dcterms:modified xsi:type="dcterms:W3CDTF">2024-05-14T02:52:34+02:00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