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nośnych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- 27 godz., w tym:
•	wykład - 16 godz.,
•	laboratorium - 8 godz.,
•	konsultacje – 1 godz.
•	egzamin – 2 godz.;
2) Praca własna studenta – 76 godz., w tym:
•	bieżące przygotowywanie się do wykładów i laboratorium: 10 godz.,
•	studia literaturowe: 10 godz.,
•	przygotowanie do zajęć: 20 godz.
•	przygotowanie projektu: 25 godz.
•	przygotowywanie się do egzaminu – 11 godz.;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punktów ECTS – liczba godzin kontaktowych – 27 godz., w tym:
•	wykład - 16 godz.;
•	laboratorium - 8 godz;
•	konsultacje – 1 godz.;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punktów ECTS – 76 godz., w tym:
•	bieżące przygotowywanie się do wykładów i laboratorium: 10 godz.,
•	studia literaturowe: 10 godz.,
•	przygotowanie do zajęć: 20 godz.
•	przygotowanie projektu: 25 godz.
•	przygotowywanie się do egzaminu – 11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Integracja systemów CAD – MES. Zagadnienia wymiany danych pomiędzy systemami CAD – MES. Integracja oprogramowania wchodzącego obejmującego podstawowy pakiet komputerowego wspomagania projektowania i wytwarzania. Modele geometryczne dla MES, w tym zagadnienia właściwego przygotowania modelu geometrycznego do dyskretyzacji, modelowanie powierzchniowe i bryłowe. Analiza sił krytycznych i częstości drgań własnych oraz szczegółowa ocena koncentracji naprężeń. Zadnienia współczynnika kształtu w kontekście funkcje kształtu oraz jakości siatki. Wprowadzenie do analiz nieliniowych. Ocena wytężenia konstrukcji – naprężenia normalne, styczne oraz zredukowane. Koncentracje naprężeń wynikające z utwierdzenia modelu oraz łączenia siatek MES.
Laboratorium: Integracja systemów CAD – MES. Modele geometryczne dla MES. Konstrukcje prętowe. Konstrukcje belkowe. Analiza sił krytycznych i częstości drgań własnych. Koncentracja naprężenia. Analizy zagadnień nieliniowych. Modelowania połączeń typu sworzeń – otwór.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osiągnięcia wymaganego programem poziomu kształcenia w zakresie podstaw teoretycznych weryfikowana będzie w trakcie ćwiczeń laboratoryjnych, odbiorów prac indywidualnych (projektów) oraz egzaminu.
Zaliczenie ćwiczeń laboratoryjnych będzie miało miejsce na podstawie wykonanej i rozliczonej tj. złożonej w formie pisemnej i zaprezentowanej, pracy indywidualnej realizowanej w trakcie zajęć (projektu).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Obliczenia wytrzymałościowe elementów maszyn z zastosowaniem metody elementów skończonych, Oficyna Wydawnicza Politechniki Warszawskiej, Warszawa 1998.
2. Niezgodziński M. E. Niezgodziński T. Wzory, wykresy i tablice wytrzymałościowe. Warszawa: Wydawnictwa Naukowo Techniczne,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https://usosweb.usos.pw.edu.pl/kontroler.php?_action=actionx:katalog2/przedmioty/edytujPrzedmiot%28prz_kod:1150-MBWPI-ISP-321;callback:g_d93b016a%29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1150-MBWPI-IZP-0321_W1: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1150-MBWPI-IZP-0321_W2: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prostych, powierzchniowych i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1150-MBWPI-IZP-0321_W3: </w:t>
      </w:r>
    </w:p>
    <w:p>
      <w:pPr/>
      <w:r>
        <w:rPr/>
        <w:t xml:space="preserve">Student zna zasady określania i wyznaczania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1150-MBWPI-IZP-0321_W4: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1150-MBWPI-IZP-0321_W5: </w:t>
      </w:r>
    </w:p>
    <w:p>
      <w:pPr/>
      <w:r>
        <w:rPr/>
        <w:t xml:space="preserve">Student zna zasady  dokonywania oceny wytężenia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1150-MBWPI-IZP-0321_U1: </w:t>
      </w:r>
    </w:p>
    <w:p>
      <w:pPr/>
      <w:r>
        <w:rPr/>
        <w:t xml:space="preserve">Zna podstawowe zagadnienia związane z wymianą danych pomiędzy systemami CAD – MES; sposoby integracji programów wchodzących w skład szeroko pojętego komputerowego wspomagania projektowania i wytwarzania; podstawowe formaty plików zawierających dane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1150-MBWPI-IZP-0321_U2: </w:t>
      </w:r>
    </w:p>
    <w:p>
      <w:pPr/>
      <w:r>
        <w:rPr/>
        <w:t xml:space="preserve">Posiada wiedzę i umiejętności z zakresu przygotowania modelu geometrycznego do dyskretyzacji. Potrafi dokonać podziału geometrii na odpowiednie obszary (modelowanie powierzchniowe) oraz na odpowiednie objętości (modelowanie bryłowe.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1150-MBWPI-IZP-0321_U3: </w:t>
      </w:r>
    </w:p>
    <w:p>
      <w:pPr/>
      <w:r>
        <w:rPr/>
        <w:t xml:space="preserve">Student potrafi wykonać analizę sił krytycznych oraz częstości drgań własnych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1150-MBWPI-IZP-0321_U4: </w:t>
      </w:r>
    </w:p>
    <w:p>
      <w:pPr/>
      <w:r>
        <w:rPr/>
        <w:t xml:space="preserve">Posiada wiedzę oraz umiejętności praktycznego wykorzystania systemów MES w analizie stanu naprężenia wokół koncentratora, w płaskim stanie naprężenia przy liniowym i nieliniowym modelu materiału.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1150-MBWPI-IZP-0321_U5: </w:t>
      </w:r>
    </w:p>
    <w:p>
      <w:pPr/>
      <w:r>
        <w:rPr/>
        <w:t xml:space="preserve">Posiada wiedzę oraz umiejętności praktycznego zastosowania systemów MES w zakresie modelowania oraz oceny stanu naprężeń i przemieszczeń konstrukcji cienkościennych wykonywanych za pomocą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1150-MBWPI-IZP-0321_U6: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1150-MBWPI-IZP-0321_K1: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2024-05-15T16:28:28+02:00</dcterms:created>
  <dcterms:modified xsi:type="dcterms:W3CDTF">2024-05-15T16:28:28+02:00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