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16 godz.;
b) laboratorium – 8 godz.;
c) konsultacje – 6 godz.;
2) Praca własna studenta – w tym:  75 godzin, w tym:
a)	 10 godz. – bieżące przygotowywanie się studenta do wykładu;
b)	 20 godz. – studia literaturowe;
c)	 10 godz. – przygotowywanie się studenta do kolokwium;
d)	 15 godz. – przygotowywanie się studenta do ćwiczeń;
e)	 20 godz. – wykonanie prac domowych.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– 30, w tym:
a) wykład – 16 godz.;
b) laboratorium – 8 godz.;
c) konsultacje –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punkty ECTS – 40 godz., w tym:
1) ćwiczenia laboratoryjne – 8 godz.;
2) 12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1150-MBNPO-IZP-0323_U1: </w:t>
      </w:r>
    </w:p>
    <w:p>
      <w:pPr/>
      <w:r>
        <w:rPr/>
        <w:t xml:space="preserve">Potrafi sformułować stosowne kryteria projektowe dla danego etapu projektowania nadwozia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2024-05-14T18:41:59+02:00</dcterms:created>
  <dcterms:modified xsi:type="dcterms:W3CDTF">2024-05-14T18:41:59+02:00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