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16 godz.;
b) laboratorium – 8 godz.;
c) konsultacje – 6 godz.;
2) Praca własna studenta – w tym:  75 godzin, w tym:
a)	 10 godz. – bieżące przygotowywanie się studenta do wykładu;
b)	 20 godz. – studia literaturowe;
c)	 10 godz. – przygotowywanie się studenta do kolokwium;
d)	 15 godz. – przygotowywanie się studenta do ćwiczeń;
e)	 20 godz. – wykonanie prac domowych.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– 30, w tym:
a) wykład – 16 godz.;
b) laboratorium – 8 godz.;
c) konsultacje –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– 40 godz., w tym:
1) ćwiczenia laboratoryjne – 8 godz.;
2) 12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1150-MBNPO-IZP-0323_W2: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1150-MBNPO-IZP-0323_W3: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1150-MBNPO-IZP-0323_U1: </w:t>
      </w:r>
    </w:p>
    <w:p>
      <w:pPr/>
      <w:r>
        <w:rPr/>
        <w:t xml:space="preserve">Potrafi sformułować stosowne kryteria projektowe dla danego etapu projektowania nadwozia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2026-01-13T21:12:58+01:00</dcterms:created>
  <dcterms:modified xsi:type="dcterms:W3CDTF">2026-01-13T21:12:58+01:00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