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1050-MT000-IZP-0314_K02: </w:t>
      </w:r>
    </w:p>
    <w:p>
      <w:pPr/>
      <w:r>
        <w:rPr/>
        <w:t xml:space="preserve">Ma świadomość ważności i zrozumienie pozatechnicznych aspektów i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2024-05-19T13:35:23+02:00</dcterms:created>
  <dcterms:modified xsi:type="dcterms:W3CDTF">2024-05-19T13:35:23+02:00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