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Analytical Methods in Biotechnology</w:t>
      </w:r>
    </w:p>
    <w:p>
      <w:pPr>
        <w:keepNext w:val="1"/>
        <w:spacing w:after="10"/>
      </w:pPr>
      <w:r>
        <w:rPr>
          <w:b/>
          <w:bCs/>
        </w:rPr>
        <w:t xml:space="preserve">Koordynator przedmiotu: </w:t>
      </w:r>
    </w:p>
    <w:p>
      <w:pPr>
        <w:spacing w:before="20" w:after="190"/>
      </w:pPr>
      <w:r>
        <w:rPr/>
        <w:t xml:space="preserve">dr hab. inż. Katarzyna Pawlak, Prof. PW,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CH.BMSA124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15h, b)	obecność na ćwiczeniach laboratoryjnych – 15h, c) obecność na ćwiczeniach projektowych – 30h 2.	przygotowanie do zajęć laboratoryjnych – 20h 3.	opracowanie wyników badań – 15h 4. przygotowanie prezentacji – 10h. 5. przygotowanie podsumowania projektu - 30h.  Razem nakład pracy studenta: 135h,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laboratories - 15h. 3. Preparation of projects - 30h. Together: 15h + 15h + 30h = 60h. It gives 3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module is to practically familiarize the students with modern instrumental techniques applied for analysis of biomaterials. Lectures, provide basic knowledge on problems related to statistical approaches used in quantitative analysis, description of method precision and accuracy. Students are obliged to prepare the plan of research and perform the experiments in the laboratory, collect the data, prepare the report and present it during seminary.  </w:t>
      </w:r>
    </w:p>
    <w:p>
      <w:pPr>
        <w:keepNext w:val="1"/>
        <w:spacing w:after="10"/>
      </w:pPr>
      <w:r>
        <w:rPr>
          <w:b/>
          <w:bCs/>
        </w:rPr>
        <w:t xml:space="preserve">Treści kształcenia: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Metody oceny: </w:t>
      </w:r>
    </w:p>
    <w:p>
      <w:pPr>
        <w:spacing w:before="20" w:after="190"/>
      </w:pPr>
      <w:r>
        <w:rPr/>
        <w:t xml:space="preserve">Project - 30%, laboratory - 30% and oral presentation - 40% of total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Analytical and biotechnological journals from data bases like Elsevier and Springer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2024-05-18T06:06:00+02:00</dcterms:created>
  <dcterms:modified xsi:type="dcterms:W3CDTF">2024-05-18T06:06:00+02:00</dcterms:modified>
</cp:coreProperties>
</file>

<file path=docProps/custom.xml><?xml version="1.0" encoding="utf-8"?>
<Properties xmlns="http://schemas.openxmlformats.org/officeDocument/2006/custom-properties" xmlns:vt="http://schemas.openxmlformats.org/officeDocument/2006/docPropsVTypes"/>
</file>