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Zarządzanie produktami chemicznymi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 Aneta Lorek 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Technologia Chemiczna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Wspólne dla kierunku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CS1A_23/01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6 / rok ak. 2018/2019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1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Wykłady: liczba godzin według planu studiów - 15, zapoznanie ze wskazaną literaturą - 5, przygotowanie do kolokwium - 5, razem - 25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Wykłady - 15 h; Razem - 15 h = 0,4 ECTS
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0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Wykład min. 15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Celem przedmiotu jest nabycie przez studentów wiedzy, umiejętności ikompetencji spolecznych z zakresu bezpiecznego stosowania, przechowywania i transportu chemikaliów.
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W1 - Źródła prawa w zakresie zarządzania substancjami chemicznymi W2 - Karty charakterystyk substancji niebezpiecznych. W3 - Transport substancji i preparatów chemicznych. W4 - Magazynowanie substancji chemicznych (niebezpiecznych) W5 - Oznakowania substancji chemicznych.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Warunkiem zaliczenia jest uzyskanie pozytywnej oceny z kolokwium zaliczeniowego. Z kolokwium można uzyskać maksymalnie 40 pkt. Przewiduje się jedno kolokwium poprawkowe. Z kolokwium poprawkowego można uzyskać maksymalnie 40 pkt, przy czym do zaliczenia wymaga się uzyskanie minimum 22 pkt. Przeliczenie sumy punktów na ocenę końcową odbywa się następująco: &lt; 21 - 2,0 (niedostateczny); 21 - 25 - 3,0 (dostateczny); 26 - 30 - 3,5 (dość dobry); 31 - 35 - 4,0 (dobry); 35 - 37 - 4,5 (ponad dobry); 38 - 40 - 5,0 (bardzo dobry). Kolokwia są pisemne.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 Bukowski Z., Prawo ochrony środowiska Unii Europejskiej, wyd. I, Warszawa, 2007 2. Rozporządzenie WE REACH, 3. Umowa ADR, 4. Dzienniki Ustaw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W09_02: </w:t>
      </w:r>
    </w:p>
    <w:p>
      <w:pPr/>
      <w:r>
        <w:rPr/>
        <w:t xml:space="preserve">Ma wiedzę w zakresie bezpiecznego stosowania substancji niebezpiecznych oraz ich magazynowania i transportu. Zna symbole i zwroty stosowane do oznaczania substancji chemicznych.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(W1-5).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C1A_W09_02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T1A_W09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U01_01: </w:t>
      </w:r>
    </w:p>
    <w:p>
      <w:pPr/>
      <w:r>
        <w:rPr/>
        <w:t xml:space="preserve">Potrafi korzystać z informacji literaturowych, baz danych oraz innych źródeł na temat stosowania, wprowadzania do obrotu oraz transportu produktów chemicznych.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(W1-5).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C1A_U01_01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T1A_U01</w:t>
      </w:r>
    </w:p>
    <w:p>
      <w:pPr>
        <w:keepNext w:val="1"/>
        <w:spacing w:after="10"/>
      </w:pPr>
      <w:r>
        <w:rPr>
          <w:b/>
          <w:bCs/>
        </w:rPr>
        <w:t xml:space="preserve">Efekt U05_01: </w:t>
      </w:r>
    </w:p>
    <w:p>
      <w:pPr/>
      <w:r>
        <w:rPr/>
        <w:t xml:space="preserve">Ma umiejętność samokształcenia się w zakresie bezpiecznej pracy z substancjami niebezpiecznymi.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(W1-5).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C1A_U05_01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T1A_U05</w:t>
      </w:r>
    </w:p>
    <w:p>
      <w:pPr>
        <w:keepNext w:val="1"/>
        <w:spacing w:after="10"/>
      </w:pPr>
      <w:r>
        <w:rPr>
          <w:b/>
          <w:bCs/>
        </w:rPr>
        <w:t xml:space="preserve">Efekt U11_01: </w:t>
      </w:r>
    </w:p>
    <w:p>
      <w:pPr/>
      <w:r>
        <w:rPr/>
        <w:t xml:space="preserve">Potrafi korzystać  z kart charakterystyki substancji niebezpiecznych. Zna zasady bezpiecznego transportu materiałów niebezpiecznych. Zna zasady dotyczące prawidłowego oznaczania substancji niebezpiecznych.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(W1-5).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C1A_U11_01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T1A_U11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K02_01: </w:t>
      </w:r>
    </w:p>
    <w:p>
      <w:pPr/>
      <w:r>
        <w:rPr/>
        <w:t xml:space="preserve">Ma świadomość ważności i rozumie skutki wpływu stosowania substancji niebezpiecznych na środowisko i związanej z tym odpowiedzialności za podejmowane decyzje.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(W1-5).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C1A_K02_01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T1A_K02</w:t>
      </w:r>
    </w:p>
    <w:p>
      <w:pPr>
        <w:keepNext w:val="1"/>
        <w:spacing w:after="10"/>
      </w:pPr>
      <w:r>
        <w:rPr>
          <w:b/>
          <w:bCs/>
        </w:rPr>
        <w:t xml:space="preserve">Efekt K02_02: </w:t>
      </w:r>
    </w:p>
    <w:p>
      <w:pPr/>
      <w:r>
        <w:rPr/>
        <w:t xml:space="preserve">Ma świadomość konieczności przestrzegania praw autorskich.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(W1-5).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C1A_K02_02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T1A_K02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2025-04-07T11:07:27+02:00</dcterms:created>
  <dcterms:modified xsi:type="dcterms:W3CDTF">2025-04-07T11:07:27+02:00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