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Umie różniczkować i zna zastosowania pochodnej funkcji jednej zmiennej rzeczywistej. Potrafi obliczać całkę oznaczoną. Umie zastosować całkę oznaczoną do obliczania wybranych wielkości geometrycznych.Potrafi zastosować wybrane narzędzia obliczeń symbolicznych i numerycznych w typowych zadaniach inżynierskich.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w:t>
      </w:r>
    </w:p>
    <w:p>
      <w:pPr>
        <w:spacing w:before="60"/>
      </w:pPr>
      <w:r>
        <w:rPr/>
        <w:t xml:space="preserve">Weryfikacja: </w:t>
      </w:r>
    </w:p>
    <w:p>
      <w:pPr>
        <w:spacing w:before="20" w:after="190"/>
      </w:pPr>
      <w:r>
        <w:rPr/>
        <w:t xml:space="preserve">Aktywna postawa na zajęciach. Obserwacja pracy studenta w sali komputerowej.</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2024-05-10T06:16:07+02:00</dcterms:created>
  <dcterms:modified xsi:type="dcterms:W3CDTF">2024-05-10T06:16:07+02:00</dcterms:modified>
</cp:coreProperties>
</file>

<file path=docProps/custom.xml><?xml version="1.0" encoding="utf-8"?>
<Properties xmlns="http://schemas.openxmlformats.org/officeDocument/2006/custom-properties" xmlns:vt="http://schemas.openxmlformats.org/officeDocument/2006/docPropsVTypes"/>
</file>