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Umie różniczkować i zna zastosowania pochodnej funkcji jednej zmiennej rzeczywistej. Potrafi obliczać całkę oznaczoną. Umie zastosować całkę oznaczoną do obliczania wybranych wielkości geometrycznych.Potrafi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w:t>
      </w:r>
    </w:p>
    <w:p>
      <w:pPr>
        <w:spacing w:before="60"/>
      </w:pPr>
      <w:r>
        <w:rPr/>
        <w:t xml:space="preserve">Weryfikacja: </w:t>
      </w:r>
    </w:p>
    <w:p>
      <w:pPr>
        <w:spacing w:before="20" w:after="190"/>
      </w:pPr>
      <w:r>
        <w:rPr/>
        <w:t xml:space="preserve">Aktywna postawa na zajęciach. Obserwacja pracy studenta w sali komputerowej.</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2026-08-18T17:33:54+02:00</dcterms:created>
  <dcterms:modified xsi:type="dcterms:W3CDTF">2026-08-18T17:33:54+02:00</dcterms:modified>
</cp:coreProperties>
</file>

<file path=docProps/custom.xml><?xml version="1.0" encoding="utf-8"?>
<Properties xmlns="http://schemas.openxmlformats.org/officeDocument/2006/custom-properties" xmlns:vt="http://schemas.openxmlformats.org/officeDocument/2006/docPropsVTypes"/>
</file>