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analizy matematycznej, w szczególności - w zakresie rachunku różniczkowego i całkowego funkcji wielu zmiennych, jego zastosowań  oraz elementów równań różniczkowych zwyczajnych.																		</w:t>
      </w:r>
    </w:p>
    <w:p>
      <w:pPr>
        <w:spacing w:before="60"/>
      </w:pPr>
      <w:r>
        <w:rPr/>
        <w:t xml:space="preserve">Weryfikacja: </w:t>
      </w:r>
    </w:p>
    <w:p>
      <w:pPr>
        <w:spacing w:before="20" w:after="190"/>
      </w:pPr>
      <w:r>
        <w:rPr/>
        <w:t xml:space="preserve">Odpowiedzi ustne na zajęciach; Kolokwium (W1 - W5, C1 - C5); Kolokwium (W6 - W11, C7 - C11); Egzamin pisemny (W1 - W15, C1 - C15)</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rozwiązywać podstawowe typy równań różniczkowych zwyczajnych opisujących zjawiska fizyczne. Potrafi wyznaczyć masę, momenty statyczne, momenty bezwładności obszarów płaskich i przestrzennych, umie stosować opis analityczny krzywych i powierzchni w R3, Potrafi wyznaczyć masę, momenty statyczne, momenty bezwładności krzywych i powierzchni , wyznaczyć pracę w polu sił, strumień pola przez powierzchnię zorientowaną. Umie korzystać z rachunku różniczkowego w celu rozwiązywania zadań optymalizacyjnych i aproksymacyjnych z wieloma zmiennymi.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Kolokwium (W1 - W5, C1 - C5); Kolokwium (W6 - W11, C7 - C11); Egzamin pisemny (W1 - W15, C1 - C15), aktywna postawa studenta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2026-03-23T07:02:16+01:00</dcterms:created>
  <dcterms:modified xsi:type="dcterms:W3CDTF">2026-03-23T07:02:16+01:00</dcterms:modified>
</cp:coreProperties>
</file>

<file path=docProps/custom.xml><?xml version="1.0" encoding="utf-8"?>
<Properties xmlns="http://schemas.openxmlformats.org/officeDocument/2006/custom-properties" xmlns:vt="http://schemas.openxmlformats.org/officeDocument/2006/docPropsVTypes"/>
</file>