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LUO_W01: </w:t>
      </w:r>
    </w:p>
    <w:p>
      <w:pPr/>
      <w:r>
        <w:rPr/>
        <w:t xml:space="preserve">ma podbudowaną teoretycznie szczegółową wiedzę w zakresie Struktury Optyczne i Światłowodowe (SOŚ) obejmujący:
- optykę ciała stałego, optykę falową i fourierowską 
- fizykę i technikę laserów
- elektrodynamikę klasyczną i kwantową
- fizykę molekularną
- znajomość zjawisk towarzyszących propagacji światła w strukturach i układach optycznych
- właściwości fizyczne i optyczne wybranych struktur i układów optycznych
- budowa, działanie i zastosowanie wybranych układów i przyrządów optoelektronicznych
-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FOT_W07,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T1A_W03, T1A_W04,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LUO_W02: </w:t>
      </w:r>
    </w:p>
    <w:p>
      <w:pPr/>
      <w:r>
        <w:rPr/>
        <w:t xml:space="preserve">ma wiedzę o tendencjach rozwojowych i najistotniejszych osiągnięciach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LUO_W03: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X1A_W07,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LUO_U01: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LUO_U02: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LUO_U03: </w:t>
      </w:r>
    </w:p>
    <w:p>
      <w:pPr/>
      <w:r>
        <w:rPr/>
        <w:t xml:space="preserve">potrafi przygotować krótkie doniesienie naukowe w języku polskim i angielskim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FOT_U21, FOT_U26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X1A_U09, T1A_U02,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LUO_U04: </w:t>
      </w:r>
    </w:p>
    <w:p>
      <w:pPr/>
      <w:r>
        <w:rPr/>
        <w:t xml:space="preserve">potrafi zaproponować ulepszenia funkcjonalne lub użytkowe istniejących rozwiązań technicznych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FOT_U12, FOT_U16, FOT_U23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X1A_U03, T1A_U13, T1A_U16, InzA_U01, X1A_U05, T1A_U15, InzA_U05, X1A_U06, T1A_U09, T1A_U12,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LUO_K01: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LUO_K02: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p>
      <w:pPr>
        <w:keepNext w:val="1"/>
        <w:spacing w:after="10"/>
      </w:pPr>
      <w:r>
        <w:rPr>
          <w:b/>
          <w:bCs/>
        </w:rPr>
        <w:t xml:space="preserve">Efekt LUO_K03: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2026-06-13T00:15:48+02:00</dcterms:created>
  <dcterms:modified xsi:type="dcterms:W3CDTF">2026-06-13T00:15:48+02:00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