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 (badania toksyczności odpadów)</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Zajęcia laboratoryjne - 30 godzin. Przygotowanie do zajęć laboratoryjnych - 10 godzin. Zapoznanie z literaturą - 10 godzin. Przygotowanie i obrona raportu - 10 godzin. Razem - 60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środowiska i ekologia, Chemia środowiska </w:t>
      </w:r>
    </w:p>
    <w:p>
      <w:pPr>
        <w:keepNext w:val="1"/>
        <w:spacing w:after="10"/>
      </w:pPr>
      <w:r>
        <w:rPr>
          <w:b/>
          <w:bCs/>
        </w:rPr>
        <w:t xml:space="preserve">Limit liczby studentów: </w:t>
      </w:r>
    </w:p>
    <w:p>
      <w:pPr>
        <w:spacing w:before="20" w:after="190"/>
      </w:pPr>
      <w:r>
        <w:rPr/>
        <w:t xml:space="preserve">L: 8 - 12 osób</w:t>
      </w:r>
    </w:p>
    <w:p>
      <w:pPr>
        <w:keepNext w:val="1"/>
        <w:spacing w:after="10"/>
      </w:pPr>
      <w:r>
        <w:rPr>
          <w:b/>
          <w:bCs/>
        </w:rPr>
        <w:t xml:space="preserve">Cel przedmiotu: </w:t>
      </w:r>
    </w:p>
    <w:p>
      <w:pPr>
        <w:spacing w:before="20" w:after="190"/>
      </w:pPr>
      <w:r>
        <w:rPr/>
        <w:t xml:space="preserve">Przedmiot ma na celu przygotowanie studentów do przeprowadzania oceny ekotoksykologicznej odpadów i szacowania zagrożenia i ryzyka środowiskowego w wyniku oddziaływania odpadów na organizmy ekosystemów wodnych i glebowych</w:t>
      </w:r>
    </w:p>
    <w:p>
      <w:pPr>
        <w:keepNext w:val="1"/>
        <w:spacing w:after="10"/>
      </w:pPr>
      <w:r>
        <w:rPr>
          <w:b/>
          <w:bCs/>
        </w:rPr>
        <w:t xml:space="preserve">Treści kształcenia: </w:t>
      </w:r>
    </w:p>
    <w:p>
      <w:pPr>
        <w:spacing w:before="20" w:after="190"/>
      </w:pPr>
      <w:r>
        <w:rPr/>
        <w:t xml:space="preserve">Badania nad wpływem wyciągów wodnych z wybranych odpadów na: przeżywalność ryb Lebistes reticulatus i larw owadów Chironomus sp., przeżywalność i procesy fizjologiczne skorupiaków z rodzaju Daphnia (standardowy test ostry i test Fluotox), młodociane formy organizmów wodnych metodą standardowego testu Toxkit, przeżywalność skąposzczetów z rodzaju Lumbricus. Badania nad wpływem wyciągów wodnych z wybranych odpadów na: wzrost bakterii Pseudomonas fluorescens, luminescencję bakterii Vibrio fischeri, aktywność dehydrogenazową mikroorganizmów osadu czynnego. Badania nad wpływem wyciągów wodnych z wybranych odpadów na: wzrost i procesy fizjologiczne glonów Selenastrum capricornutum, wzrost roślin wyższych –Lemna minor oraz wzrost i kiełkowanie Sorghum saccharatum, Lepidium sativum i Sinapis alba metodą Phytotoxkit. Ocena zagrożenia i ryzyka w środowisku na podstawie wybranych metod obliczeniowych.</w:t>
      </w:r>
    </w:p>
    <w:p>
      <w:pPr>
        <w:keepNext w:val="1"/>
        <w:spacing w:after="10"/>
      </w:pPr>
      <w:r>
        <w:rPr>
          <w:b/>
          <w:bCs/>
        </w:rPr>
        <w:t xml:space="preserve">Metody oceny: </w:t>
      </w:r>
    </w:p>
    <w:p>
      <w:pPr>
        <w:spacing w:before="20" w:after="190"/>
      </w:pPr>
      <w:r>
        <w:rPr/>
        <w:t xml:space="preserve">Uczestnictwo w zajęciach, sprawozdania z zajęć, dwa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Laskowski R., Migula P., Ekotoksykologia. Od komórki do ekosystemu, PWRiL, Warszawa, 2004. Hoffman D. J., Rattner B. A., Burton G.A., Jr., Cairns J., Jr., Handbook of Ecotoxicology, Second Edition, CRC Press, 2002. Newman, M.C., Fundamentals of Ecotoxicology, Second Edition CRC Press, 2002. Sparks T., (Editor), Statistics in Ecotoxicology, John Wiley &amp; Sons,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W_01 Posiada rozszerzoną, podbudowaną teoretycznie wiedzę z chemii i biologii środowiska w tym znajomość nowoczesnych technik stosowanych w ekotoksykologii do oceny zagrozenia i ryzyka środowiskowego związanego z gospodarką odpadami.</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T2A_W01, T2A_W03, T2A_W07</w:t>
      </w:r>
    </w:p>
    <w:p>
      <w:pPr>
        <w:keepNext w:val="1"/>
        <w:spacing w:after="10"/>
      </w:pPr>
      <w:r>
        <w:rPr>
          <w:b/>
          <w:bCs/>
        </w:rPr>
        <w:t xml:space="preserve">Efekt W02: </w:t>
      </w:r>
    </w:p>
    <w:p>
      <w:pPr/>
      <w:r>
        <w:rPr/>
        <w:t xml:space="preserve">W02 Ma szczegółową i podbudowaną teoretycznie wiedzę w zakresie, chemicznych i biologicznych metod stosowanych w inżynierii środowiska związanych z badaniem oddziaływania odpadów na organizmy ekosystemów wodnych i glebowych.</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efekty kierunkowe: </w:t>
      </w:r>
      <w:r>
        <w:rPr/>
        <w:t xml:space="preserve">IS_W05, IS_W11</w:t>
      </w:r>
    </w:p>
    <w:p>
      <w:pPr>
        <w:spacing w:before="20" w:after="190"/>
      </w:pPr>
      <w:r>
        <w:rPr>
          <w:b/>
          <w:bCs/>
        </w:rPr>
        <w:t xml:space="preserve">Powiązane efekty obszarowe: </w:t>
      </w:r>
      <w:r>
        <w:rPr/>
        <w:t xml:space="preserve">T2A_W01, T2A_W03, T2A_W07, 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U01 Posługuje się poprawnie terminologią i nomenklaturą stosowaną w inżynierii środowiska w zakresie podstaw ekotoksykologii również w języku obcym. </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efekty kierunkowe: </w:t>
      </w:r>
      <w:r>
        <w:rPr/>
        <w:t xml:space="preserve">IS_U21, IS_U22</w:t>
      </w:r>
    </w:p>
    <w:p>
      <w:pPr>
        <w:spacing w:before="20" w:after="190"/>
      </w:pPr>
      <w:r>
        <w:rPr>
          <w:b/>
          <w:bCs/>
        </w:rPr>
        <w:t xml:space="preserve">Powiązane efekty obszarowe: </w:t>
      </w:r>
      <w:r>
        <w:rPr/>
        <w:t xml:space="preserve">T2A_U02, T2A_U03, T2A_U06, T2A_U07, T2A_U04, T2A_U06, T2A_U07, T2A_U08, T2A_U09, T2A_U10</w:t>
      </w:r>
    </w:p>
    <w:p>
      <w:pPr>
        <w:keepNext w:val="1"/>
        <w:spacing w:after="10"/>
      </w:pPr>
      <w:r>
        <w:rPr>
          <w:b/>
          <w:bCs/>
        </w:rPr>
        <w:t xml:space="preserve">Efekt U02: </w:t>
      </w:r>
    </w:p>
    <w:p>
      <w:pPr/>
      <w:r>
        <w:rPr/>
        <w:t xml:space="preserve">U02 Posiada umiejętności samodzielnego planowania, realizacji i interpretacji badań ekotoksykologicznych umożliwiających ocenę zagrożenia środowiska związanego z gospodarką odpadami.</w:t>
      </w:r>
    </w:p>
    <w:p>
      <w:pPr>
        <w:spacing w:before="60"/>
      </w:pPr>
      <w:r>
        <w:rPr/>
        <w:t xml:space="preserve">Weryfikacja: </w:t>
      </w:r>
    </w:p>
    <w:p>
      <w:pPr>
        <w:spacing w:before="20" w:after="190"/>
      </w:pPr>
      <w:r>
        <w:rPr/>
        <w:t xml:space="preserve">Kolokwium pisemne z całości materiału. Sprawozdania pisemne z przeprowadzonych badań</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K01 Rozumie potrzebę ciągłego dokształcania się i podnoszenia kompetencji zawodowych również w dziedzinie toksyczności odpadów</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p>
      <w:pPr>
        <w:keepNext w:val="1"/>
        <w:spacing w:after="10"/>
      </w:pPr>
      <w:r>
        <w:rPr>
          <w:b/>
          <w:bCs/>
        </w:rPr>
        <w:t xml:space="preserve">Efekt K02: </w:t>
      </w:r>
    </w:p>
    <w:p>
      <w:pPr/>
      <w:r>
        <w:rPr/>
        <w:t xml:space="preserve">K02 Ma świadomość wagi pozatechnicznych skutków działalności inżynierskiej, szczególnie dotyczacych zagrożeń ekologicznych, i związanej z tym odpowiedzialności za podejmowane decyzje.</w:t>
      </w:r>
    </w:p>
    <w:p>
      <w:pPr>
        <w:spacing w:before="60"/>
      </w:pPr>
      <w:r>
        <w:rPr/>
        <w:t xml:space="preserve">Weryfikacja: </w:t>
      </w:r>
    </w:p>
    <w:p>
      <w:pPr>
        <w:spacing w:before="20" w:after="190"/>
      </w:pPr>
      <w:r>
        <w:rPr/>
        <w:t xml:space="preserve"> Ustna dyskusja w trakcie zajęć</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2024-05-19T07:49:15+02:00</dcterms:created>
  <dcterms:modified xsi:type="dcterms:W3CDTF">2024-05-19T07:49:15+02:00</dcterms:modified>
</cp:coreProperties>
</file>

<file path=docProps/custom.xml><?xml version="1.0" encoding="utf-8"?>
<Properties xmlns="http://schemas.openxmlformats.org/officeDocument/2006/custom-properties" xmlns:vt="http://schemas.openxmlformats.org/officeDocument/2006/docPropsVTypes"/>
</file>