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GP.NIK711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wykładach - 16 godzin 
2. Praca własna studenta – 74 godzin, w tym: 
a) zapoznanie się z literaturą i źródłami internetowymi - 30 godzin
b) przygotowanie do zaliczenia i praca własna - 44 godziny
Łączny nakład pracy studenta wynosi 90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3. M. Nowakowski, Centrum miasta.
4. Z. Paszkowski, Miasto Idealne.
5. M. Gyurkovich, Hybrydowe przestrzenie kultury we współczesnym mieście europejskim.
6. L. Nyka, Architektura i woda - przekraczanie granic.
7. J. Jacob, Życie i śmierć wielkich miast Ameryki.
8. J. Gehl, Miasto dla ludzi.
9. S. Gzell, Wykłady ze współczesnej urbanistyki.
10. L. Krier, Architektura. Wybór czy przeznaczenie.
11. Czasopisma: Architektura, Architektura&amp;Biznes, Urbanista, Przegląd Urbanistyczny.
12. Literatura obcojęzyczna dotycząca projektowania urbanistycznego i architektonicznego.
13. Pozycje monograficzne projektantów założeń urbanistycznych.
14.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GP.NIK711_W1: </w:t>
      </w:r>
    </w:p>
    <w:p>
      <w:pPr/>
      <w:r>
        <w:rPr/>
        <w:t xml:space="preserve">ma podstawową wiedzę dotycząca planowania przestrzennego w Polsce i krajach UE; zna nowe trendy zagospodarowania przestrzennego na świecie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GP.NIK711_W2: </w:t>
      </w:r>
    </w:p>
    <w:p>
      <w:pPr/>
      <w:r>
        <w:rPr/>
        <w:t xml:space="preserve">ma wiedzę o procesach rozwoju przestrzennego terenów zurbanizowanych o różnym nasyceniu wartościami przyrodniczymi i kulturowymi; zna reguły prawne w zakresie ochrony interesu i dóbr publicznych; zna zasady zrównoważonego rozwoju i tworzenia ładu przestrzennego.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GP.NIK711_U1: </w:t>
      </w:r>
    </w:p>
    <w:p>
      <w:pPr/>
      <w:r>
        <w:rPr/>
        <w:t xml:space="preserve">potrafi pozyskiwać informacje z literatury, baz danych i innych źródeł w zakresie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GP.NIK711_U2: </w:t>
      </w:r>
    </w:p>
    <w:p>
      <w:pPr/>
      <w:r>
        <w:rPr/>
        <w:t xml:space="preserve">potrafi opracować esej na temat nowych trendów w urbanistyce oraz wyciągnąć prawidłowe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GP.NIK711_U3: </w:t>
      </w:r>
    </w:p>
    <w:p>
      <w:pPr/>
      <w:r>
        <w:rPr/>
        <w:t xml:space="preserve">potrafi przygotować i przedstawić krótką prezentację poświęconą wynikom przeprowadzonych badań i informacji na temat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T1A_U04</w:t>
      </w:r>
    </w:p>
    <w:p>
      <w:pPr>
        <w:keepNext w:val="1"/>
        <w:spacing w:after="10"/>
      </w:pPr>
      <w:r>
        <w:rPr>
          <w:b/>
          <w:bCs/>
        </w:rPr>
        <w:t xml:space="preserve">Efekt GP.NIK711_U4: </w:t>
      </w:r>
    </w:p>
    <w:p>
      <w:pPr/>
      <w:r>
        <w:rPr/>
        <w:t xml:space="preserve">potrafi przedstawić i ocenić stan istniejącego zagospodarowania terenu, w zakresie jego użytkowania, zabudowy, walorów technicznych, kulturowych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GP.NIK711_U5: </w:t>
      </w:r>
    </w:p>
    <w:p>
      <w:pPr/>
      <w:r>
        <w:rPr/>
        <w:t xml:space="preserve">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GP.NIK711_K1: </w:t>
      </w:r>
    </w:p>
    <w:p>
      <w:pPr/>
      <w:r>
        <w:rPr/>
        <w:t xml:space="preserve">potrafi ocenić pozatechniczne aspekty i skutki działalności inżyniera gospodarki przestrzennej, w tym jej wpływ na środowisko; docenia ważność tych decyzji na kształtowanie przestrzeni</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GP.NIK711_K2: </w:t>
      </w:r>
    </w:p>
    <w:p>
      <w:pPr/>
      <w:r>
        <w:rPr/>
        <w:t xml:space="preserve">ma świadomość odpowiedzialności za własną pracę,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2024-05-17T11:32:43+02:00</dcterms:created>
  <dcterms:modified xsi:type="dcterms:W3CDTF">2024-05-17T11:32:43+02:00</dcterms:modified>
</cp:coreProperties>
</file>

<file path=docProps/custom.xml><?xml version="1.0" encoding="utf-8"?>
<Properties xmlns="http://schemas.openxmlformats.org/officeDocument/2006/custom-properties" xmlns:vt="http://schemas.openxmlformats.org/officeDocument/2006/docPropsVTypes"/>
</file>