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Kataster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Marcin Karabin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GK.NMK105(KN)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10 godzin, w tym:
a) uczestnictwo w wykładach - 8 godzin
c) udział w konsultacjach - 2 godziny.
2) Praca własna studenta -  15 godzin, w tym:
a) zapoznanie się ze wskazaną literaturą - 8 godzin,
b) przygotowanie do sprawdzianu zaliczeniowego – 7 godzin.
RAZEM: 25 godzin - 1 punkt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punktu ECTS - liczba godzin kontaktowych - 10 godzin, w tym:
a) uczestnictwo w wykładach - 8 godzin
b) udział w konsultacjach - 2 godziny,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na temat podstawowych zasad funkcjonowania katastru w Polsce w ujęciu prawnym i technicznym zdobyta w ramach przedmiotu Kataster Nieruchomości prowadzonego na studiach pierwszego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specjalistycznej wiedzy na temat źródeł i zasad zasilania baz danych katastralnych.Przedstawienie katastru jako podstawy tworzenia Zintegrowanego Systemu Informacji o Nieruchomościach. Zapoznanie się z systemami katastralnymi funkcjonującymi w krajach Unii Europejskiej oraz kierunkami rozwoju katastru na świecie. Cel całego przedmiotu tj. sem. 1 oraz sem. 3.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zasady pozyskiwania danych o budynkach dla celów związanych z modernizacją katastru nieruchomości – analiza przypadków praktycznych, orzecznictwo, problematyka określania zgodności wybudowania obiektu z projektem zagospodarowania terenu. Zaliczanie gruntów do poszczególnych użytków gruntowych – analiza przypadków praktycznych, interpretacja przepisów, orzecznictwo, skutki prawne. Zasady obliczania powierzchni użytkowej lokali dla celów związanych z prowadzeniem katastru oraz dla celów związanych z gospodarką nieruchomościami. Normy branżowe polskie (PN-70/B-02365, PN-ISO 9836:1997, PN-ISO 9836:2015-12) oraz zagraniczne (ANSI/BOMA Z65.1-2010, norma GIF, standardy RISC, norma IPMS – Office Buildings). Zasady weryfikacji powierzchni inwentaryzowanych obiektów (lokali) – analiza dokładnościowa.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zaliczeniowe - obydwa muszą być zaliczone. Do zaliczenia sprawdzianu wymagane jest uzyskanie minimum 60% punktów. Możliwa poprawa jednego sprawdzianu. Ocena z zaliczenia wykładu określona na podstawie średniej arytmetycznej z dwóch sprawdzianów oraz przyporządkowania wyniku tego obliczenia do następujących przedziałów liczbowych odpowiadających ocenom: 
5,0 – pięć (4,75 – 5,0)
4,5 – cztery i pół (4,25-4,74)
4,0 –cztery (3,75-4,24)
3,5-trzy i pół (3,26-3,74)
3,0-trzy (3,0-3,25),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
Ustawa z dnia 17 maja 1989r. Prawo geodezyjne i kartograficzne (Dz.U. z 2019 poz. 725 z późn. zmianami),
Rozporządzenie Ministra Rozwoju Regionalnego i Budownictwa z dnia 29 marca 2001r. w sprawie ewidencji gruntów i budynków (Dz. U. z 2016r poz. 1034 z późn. zmianami),
Rozporządzenie Ministra Infrastruktury z dnia 12 kwietnia 2002r. w sprawie warunków technicznych, jakim powinny odpowiadać budynki i ich usytuowanie (Dz.U.z 2015r. poz.1422 z późn. zmianami )
Rozporządzenie Rady Ministrów z dnia 3 października 2016r. w sprawie Klasyfikacji Środków Trwałych (KŚT) (Dz.U.2016r. poz 1864),
Rozporządzenie Rady Ministrów z dnia 30 grudnia 1999r. w sprawie Polskiej Klasyfikacji Obiektów Budowlanych (PKOB) (Dz.U.1999.112.1316 z późn zmianami),
Ustawa z dnia 24 czerwca 1994 r. o własności lokali. (Dz.U.z 2018r. poz 716),
Ustawa z dnia 21 czerwca 2001 r. – o ochronie praw lokatorów, mieszkaniowym zasobie gminy  i o zmianie Kodeksu cywilnego (Dz.U.z 2018r. poz. 1234),
Ustawa z dnia 23 kwietnia 1964r. Kodeks Cywilny (Dz.U.z 2018 poz. 1025 z późn. zmianami)
Ustawa z dnia 17 listopada 1964r. – Kodeks postępowania cywilnego (Dz. U. z 2018, poz. 155 z poźn. zmianami)
Rozporządzenie Ministra Sprawiedliwości z dnia 23 grudnia 2015r. – Regulamin urzędowania sądów powszechnych (Dz.U.2015 poz. 2316)
Ustawa z dnia 6 lipca 1982r. o księgach wieczystych i hipotece (Dz.U.z 2018r poz.1916 z późn. zmianami),
Rozporządzenie Ministra Sprawiedliwości z dnia 15 lutego 2016r. w sprawie zakładania i prowadzenia ksiąg wieczystych w systemie teleinformatycznym (Dz.U.z 2016.poz 312 z późn. zmianami),
Rozporządzenie Rady Ministrów z 17 stycznia 2013r. w sprawie zintegrowanego systemu informacji o nieruchomościach (Dz. U. 2013.249)
Rozporządzenie Ministra Spraw Wewnętrznych i Administracji z dnia 9 listopada 2011r. w sprawie standardów technicznych wykonywania geodezyjnych pomiarów sytuacyjnych i wysokościowych oraz opracowywania i przekazywania wyników tych pomiarów do państwowego zasobu geodezyjnego i kartograficznego (Dz.U.2011.263.1572).
Normy branżowe w zakresie obliczania wskaźników powierzchniowych i kubaturowych w budownictwie - obowiązujące na przestrzeni lat, jak i obecnie (PN-70/B-02365 i PN-ISO 9836:1997, ANSI/BOMA Z65.1-2010, norma GIF, standardy RISC, IPMS – Office Buildings).
Orzecznictwo sądowe w omawianym zakresie.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GK.NMK105_W1: </w:t>
      </w:r>
    </w:p>
    <w:p>
      <w:pPr/>
      <w:r>
        <w:rPr/>
        <w:t xml:space="preserve">Ma specjalistyczną, poszerzoną i uporządkowaną wiedzę na temat źródeł i zasad zasilania baz danych katastralnych, w tym na potrzeby Zintegrowanego Systemu Informacji o Nieruchomościach, a także na temat kierunków rozwoju polskiego katastru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
sprawdzianie pisemnym obejmującym
zagadnienia omawiane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T2A_W02, 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GK.NMK105_U1: </w:t>
      </w:r>
    </w:p>
    <w:p>
      <w:pPr/>
      <w:r>
        <w:rPr/>
        <w:t xml:space="preserve">Potrafi dokonać weryfikację i aktualizację danych katastru nieruchomości oraz pozyskać dane rejestrowane w katastrze z dokumentacji geodezyjnej wykonywanej na różne potrzeby.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wykazanych na sprawdzianie pisemnym obejmującym zagadnienia omawiane na wykładach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T2A_U11, T2A_U07, T2A_U08, T2A_U10, T2A_U12, T2A_U16,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GK.NMK105_K1: </w:t>
      </w:r>
    </w:p>
    <w:p>
      <w:pPr/>
      <w:r>
        <w:rPr/>
        <w:t xml:space="preserve">Potrafił będzie nawiązać współpracę z właścicielem nieruchomości oraz przedstawicielami innych zawodów podczas procedury związanej z pozyskiwaniem danych na potrzeby aktualizacji i modernizacji katastru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wykazanych na sprawdzianie pisemnym obejmującym zagadnienia omawiane na wykładach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2024-05-17T17:21:29+02:00</dcterms:created>
  <dcterms:modified xsi:type="dcterms:W3CDTF">2024-05-17T17:21:29+02:00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