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przestrzenna w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 godzin, w tym:
a) udział w wykładach: 8 x 2 godz. = 16 godz., 
b) udział w konsultacjach 4 x 2 godz = 8 godz.,
c) obecność na zaliczeniu: 3 godz.
2) Praca własna studenta - 23 godzin, w tym:
a) przygotowanie do zaliczenia: 15 godz.,
b) zapoznanie z literaturą: 8 godz.
Łącznie nakład pracy studenta wynosi 50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liczba godzin kontaktowych - 27 godzin, w tym:
a) udział w wykładach: 8 x 2 godz. = 16 godz., 
b) udział w konsultacjach 4 x 2 godz = 8 godz.,
c) obecność na zaliczeniu: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Unii Europejskiej i samorządzie terytorialnym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polityce  przestrzennej Unii Europejskiej oraz systemach planowania przestrzennego w wybranych krajach członkowskich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Gospodarka przestrzenna – podstawowe pojęcia
Samorząd terytorialny w wybranych krajach Unii Europejskiej: Francja, Wielka Brytania, Holandia, Niemcy, Czechy
Przestrzeń europejska - zróżnicowanie przestrzenne krajów UE
Planowanie przestrzenne wybranych krajach Unii Europejskiej: Francja, Wielka Brytania, Holandia, Niemcy, Czechy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A. Gorzym Wilkowski, Gospodarka przestrzenna samorządu terytorialnego, zarys, Wydawnictwo Uniwersytetu Marii Curie-Skłodowskiej, wyd. 1. Lublin 2006;
2. Samorząd terytorialny w Europie Zachodniej, red. L. Rajca, Dom Wydawniczy Elipsa, wyd.1, Warszawa 2010;
3. J. Wojnicki, Samorządy lokalne w Polsce i w Europie, Wydawnictwo Akademii Humanistycznej im. Aleksandra Gieysztora, wyd.1, Pułtusk 2008;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GP.NMK202_W1: </w:t>
      </w:r>
    </w:p>
    <w:p>
      <w:pPr/>
      <w:r>
        <w:rPr/>
        <w:t xml:space="preserve">Zna i rozumie działanie samorządów terytorialnych w krajach UE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GP.NMK202_W2: </w:t>
      </w:r>
    </w:p>
    <w:p>
      <w:pPr/>
      <w:r>
        <w:rPr/>
        <w:t xml:space="preserve">Zna i rozumie proces planowania przestrzennego w krajach UE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GP.NMK202_W3: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GP.NMK202_W4: </w:t>
      </w:r>
    </w:p>
    <w:p>
      <w:pPr/>
      <w:r>
        <w:rPr/>
        <w:t xml:space="preserve">Ma wiedzę o interdyscyplinarności 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GP.NMK202_U1: </w:t>
      </w:r>
    </w:p>
    <w:p>
      <w:pPr/>
      <w:r>
        <w:rPr/>
        <w:t xml:space="preserve">Potrafi tworzyć  opracowania z merytorycznymi argumentami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GP.NMK202_U2: </w:t>
      </w:r>
    </w:p>
    <w:p>
      <w:pPr/>
      <w:r>
        <w:rPr/>
        <w:t xml:space="preserve">Potrafi  wyciągać syntetyczne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GP.NMK202_U3: </w:t>
      </w:r>
    </w:p>
    <w:p>
      <w:pPr/>
      <w:r>
        <w:rPr/>
        <w:t xml:space="preserve">Wie jak analizować różnorodne uwarunkowania procesu planowania przestrzennego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GP.NMK202_U4: </w:t>
      </w:r>
    </w:p>
    <w:p>
      <w:pPr/>
      <w:r>
        <w:rPr/>
        <w:t xml:space="preserve">Potrafi analizować wieloaspektowość procesu planowania przestrzennego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GP.NMK202_K1: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GP.NMK202_K2: </w:t>
      </w:r>
    </w:p>
    <w:p>
      <w:pPr/>
      <w:r>
        <w:rPr/>
        <w:t xml:space="preserve">Ma poczucie zawodowej odpowiedzialności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GP.NMK202_K3: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GP.NMK202_K4: </w:t>
      </w:r>
    </w:p>
    <w:p>
      <w:pPr/>
      <w:r>
        <w:rPr/>
        <w:t xml:space="preserve">Potrafi przewidywać różnorodne skutki 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2026-07-27T06:41:59+02:00</dcterms:created>
  <dcterms:modified xsi:type="dcterms:W3CDTF">2026-07-27T06:41:59+02:00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